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1F9B" w14:textId="3D2B2C14" w:rsidR="00BF4C64" w:rsidRPr="00447AE3" w:rsidRDefault="00BE40A1" w:rsidP="005D5198">
      <w:pPr>
        <w:pStyle w:val="Heading1"/>
      </w:pPr>
      <w:r>
        <w:t>Cycling Opportunity:</w:t>
      </w:r>
      <w:r w:rsidR="00F97D7C">
        <w:t xml:space="preserve"> Model</w:t>
      </w:r>
      <w:r w:rsidR="00E13840">
        <w:t xml:space="preserve"> </w:t>
      </w:r>
      <w:r w:rsidR="001454BA">
        <w:t>Me</w:t>
      </w:r>
      <w:r w:rsidR="00E13840">
        <w:t>thodology</w:t>
      </w:r>
    </w:p>
    <w:p w14:paraId="121CC898" w14:textId="1513DD84" w:rsidR="00FD1DCA" w:rsidRDefault="00E943C6">
      <w:r>
        <w:t xml:space="preserve">The </w:t>
      </w:r>
      <w:r w:rsidR="00B93805">
        <w:t>m</w:t>
      </w:r>
      <w:r>
        <w:t>odel</w:t>
      </w:r>
      <w:r w:rsidR="007E2BCB">
        <w:t xml:space="preserve"> </w:t>
      </w:r>
      <w:r w:rsidR="00E830D8">
        <w:t>is designed to inform the impact of providing discounts</w:t>
      </w:r>
      <w:r w:rsidR="006245BD">
        <w:t xml:space="preserve"> (£50, £100, £150, £200, 20%, 30%, 40% and 50% off)</w:t>
      </w:r>
      <w:r w:rsidR="00E830D8">
        <w:t xml:space="preserve"> on a new cycle and accessories</w:t>
      </w:r>
      <w:r w:rsidR="00693968">
        <w:t xml:space="preserve"> to those who are on low income, unemployed or economically inactive</w:t>
      </w:r>
      <w:r w:rsidR="00B46854">
        <w:t xml:space="preserve"> within the UK. </w:t>
      </w:r>
    </w:p>
    <w:p w14:paraId="792A8219" w14:textId="42F6D381" w:rsidR="00E943C6" w:rsidRDefault="00B46854">
      <w:r>
        <w:t>Th</w:t>
      </w:r>
      <w:r w:rsidR="009C11B6">
        <w:t xml:space="preserve">e broad </w:t>
      </w:r>
      <w:r w:rsidR="008A25F2">
        <w:t>function</w:t>
      </w:r>
      <w:r w:rsidR="009C11B6">
        <w:t xml:space="preserve"> of the model is to</w:t>
      </w:r>
      <w:r w:rsidR="00873649">
        <w:t>:</w:t>
      </w:r>
    </w:p>
    <w:p w14:paraId="61D12BFA" w14:textId="0C478DD0" w:rsidR="00873649" w:rsidRDefault="003603BF" w:rsidP="001D2352">
      <w:pPr>
        <w:pStyle w:val="ListParagraph"/>
        <w:numPr>
          <w:ilvl w:val="0"/>
          <w:numId w:val="9"/>
        </w:numPr>
      </w:pPr>
      <w:r>
        <w:t>E</w:t>
      </w:r>
      <w:r w:rsidR="00873649">
        <w:t>stimate</w:t>
      </w:r>
      <w:r w:rsidR="005A3BA8">
        <w:t xml:space="preserve"> the</w:t>
      </w:r>
      <w:r w:rsidR="00873649">
        <w:t xml:space="preserve"> number of trips/distance</w:t>
      </w:r>
      <w:r w:rsidR="00CB13F2">
        <w:t xml:space="preserve"> that would be</w:t>
      </w:r>
      <w:r w:rsidR="00873649">
        <w:t xml:space="preserve"> cycled for various purposes, as well as the number of cycle trips/distance that are shifted from other modes</w:t>
      </w:r>
    </w:p>
    <w:p w14:paraId="660B1F06" w14:textId="577BCA7B" w:rsidR="00CB13F2" w:rsidRDefault="003603BF" w:rsidP="001D2352">
      <w:pPr>
        <w:pStyle w:val="ListParagraph"/>
        <w:numPr>
          <w:ilvl w:val="0"/>
          <w:numId w:val="9"/>
        </w:numPr>
      </w:pPr>
      <w:r>
        <w:t>E</w:t>
      </w:r>
      <w:r w:rsidR="00CB13F2">
        <w:t>s</w:t>
      </w:r>
      <w:r w:rsidR="006245BD">
        <w:t>timate the cost to government</w:t>
      </w:r>
      <w:r w:rsidR="008A25F2">
        <w:t xml:space="preserve"> to </w:t>
      </w:r>
      <w:r w:rsidR="00B37E8B">
        <w:t>provide the discount</w:t>
      </w:r>
    </w:p>
    <w:p w14:paraId="3675ECFD" w14:textId="63257873" w:rsidR="00B37E8B" w:rsidRDefault="003603BF" w:rsidP="001D2352">
      <w:pPr>
        <w:pStyle w:val="ListParagraph"/>
        <w:numPr>
          <w:ilvl w:val="0"/>
          <w:numId w:val="9"/>
        </w:numPr>
      </w:pPr>
      <w:r>
        <w:t>E</w:t>
      </w:r>
      <w:r w:rsidR="00B37E8B">
        <w:t xml:space="preserve">stimate the impacts </w:t>
      </w:r>
      <w:r w:rsidR="003B6CAE">
        <w:t>associated with the change in cycling levels, including:</w:t>
      </w:r>
    </w:p>
    <w:p w14:paraId="70445BDC" w14:textId="37ABC7D8" w:rsidR="003B6CAE" w:rsidRDefault="003603BF" w:rsidP="001D2352">
      <w:pPr>
        <w:pStyle w:val="ListParagraph"/>
        <w:numPr>
          <w:ilvl w:val="1"/>
          <w:numId w:val="9"/>
        </w:numPr>
      </w:pPr>
      <w:r>
        <w:t>E</w:t>
      </w:r>
      <w:r w:rsidR="00035029">
        <w:t>conomic</w:t>
      </w:r>
      <w:r w:rsidR="004F0336">
        <w:t xml:space="preserve"> costs and benefits</w:t>
      </w:r>
    </w:p>
    <w:p w14:paraId="3306D3F4" w14:textId="08C205FE" w:rsidR="004F0336" w:rsidRDefault="00BA5205" w:rsidP="001D2352">
      <w:pPr>
        <w:pStyle w:val="ListParagraph"/>
        <w:numPr>
          <w:ilvl w:val="1"/>
          <w:numId w:val="9"/>
        </w:numPr>
      </w:pPr>
      <w:r>
        <w:t>Changes in g</w:t>
      </w:r>
      <w:r w:rsidR="00035029">
        <w:t>reenhouse gas and local pollutant</w:t>
      </w:r>
      <w:r w:rsidR="003603BF">
        <w:t xml:space="preserve">s </w:t>
      </w:r>
      <w:r>
        <w:t>levels</w:t>
      </w:r>
    </w:p>
    <w:p w14:paraId="32383CD7" w14:textId="1EE1B575" w:rsidR="003603BF" w:rsidRDefault="00BA5205" w:rsidP="001D2352">
      <w:pPr>
        <w:pStyle w:val="ListParagraph"/>
        <w:numPr>
          <w:ilvl w:val="1"/>
          <w:numId w:val="9"/>
        </w:numPr>
      </w:pPr>
      <w:r>
        <w:t>Changes in physical</w:t>
      </w:r>
      <w:r w:rsidR="003603BF">
        <w:t xml:space="preserve"> activity</w:t>
      </w:r>
      <w:r w:rsidR="00D6344B">
        <w:t xml:space="preserve"> (health car</w:t>
      </w:r>
      <w:r w:rsidR="00B344C0">
        <w:t>e system savings and reduction in sick days)</w:t>
      </w:r>
    </w:p>
    <w:p w14:paraId="5F274A35" w14:textId="4C04F076" w:rsidR="00BA5205" w:rsidRDefault="00486F64" w:rsidP="00DD19FA">
      <w:r>
        <w:t xml:space="preserve">The central input to the model is </w:t>
      </w:r>
      <w:r w:rsidR="00047840">
        <w:t>data from a representative survey of those</w:t>
      </w:r>
      <w:r w:rsidR="001D2352">
        <w:t xml:space="preserve"> in the UK</w:t>
      </w:r>
      <w:r w:rsidR="00047840">
        <w:t xml:space="preserve"> of working age who are on low income, unemployed or economically inactive</w:t>
      </w:r>
      <w:r w:rsidR="007C0589">
        <w:t>, undertaken as part of th</w:t>
      </w:r>
      <w:r w:rsidR="00737A1F">
        <w:t>e ‘</w:t>
      </w:r>
      <w:r w:rsidR="00B93805">
        <w:t>Cycling Opportunity’</w:t>
      </w:r>
      <w:r w:rsidR="00737A1F">
        <w:t xml:space="preserve"> project</w:t>
      </w:r>
      <w:r>
        <w:t xml:space="preserve">. A </w:t>
      </w:r>
      <w:r w:rsidR="00C86EB1">
        <w:t xml:space="preserve">range of other data </w:t>
      </w:r>
      <w:r w:rsidR="007C0589">
        <w:t>also feed in</w:t>
      </w:r>
      <w:r w:rsidR="00737A1F">
        <w:t>.</w:t>
      </w:r>
    </w:p>
    <w:p w14:paraId="4D199543" w14:textId="0DB497DA" w:rsidR="008F557E" w:rsidRDefault="008F557E" w:rsidP="008F557E">
      <w:pPr>
        <w:pStyle w:val="Heading2"/>
      </w:pPr>
      <w:r>
        <w:t>Estimating trips and distance</w:t>
      </w:r>
    </w:p>
    <w:p w14:paraId="3378A53D" w14:textId="156E26CF" w:rsidR="007101B5" w:rsidRDefault="008F557E" w:rsidP="008F557E">
      <w:r>
        <w:t>In order to estimate</w:t>
      </w:r>
      <w:r w:rsidR="005A3BA8" w:rsidRPr="005A3BA8">
        <w:t xml:space="preserve"> the number of trips</w:t>
      </w:r>
      <w:r>
        <w:t xml:space="preserve"> and the overall </w:t>
      </w:r>
      <w:r w:rsidR="005A3BA8" w:rsidRPr="005A3BA8">
        <w:t>distance that would be cycled for various purposes, as well as the number of cycle trips/distance that are shifted from other modes</w:t>
      </w:r>
      <w:r>
        <w:t>, t</w:t>
      </w:r>
      <w:r w:rsidR="00A42E59">
        <w:t xml:space="preserve">he key inputs </w:t>
      </w:r>
      <w:r w:rsidR="003257E5">
        <w:t>were:</w:t>
      </w:r>
    </w:p>
    <w:p w14:paraId="652FBFF5" w14:textId="1379F1F9" w:rsidR="003257E5" w:rsidRPr="008F557E" w:rsidRDefault="003257E5" w:rsidP="001D2352">
      <w:pPr>
        <w:pStyle w:val="ListParagraph"/>
        <w:numPr>
          <w:ilvl w:val="0"/>
          <w:numId w:val="12"/>
        </w:numPr>
        <w:ind w:left="709"/>
        <w:rPr>
          <w:b/>
          <w:bCs/>
        </w:rPr>
      </w:pPr>
      <w:r w:rsidRPr="008F557E">
        <w:rPr>
          <w:b/>
          <w:bCs/>
        </w:rPr>
        <w:lastRenderedPageBreak/>
        <w:t xml:space="preserve">The number of people </w:t>
      </w:r>
      <w:r w:rsidR="006268DC" w:rsidRPr="008F557E">
        <w:rPr>
          <w:b/>
          <w:bCs/>
        </w:rPr>
        <w:t xml:space="preserve">who would </w:t>
      </w:r>
      <w:r w:rsidR="005A6B70" w:rsidRPr="008F557E">
        <w:rPr>
          <w:b/>
          <w:bCs/>
        </w:rPr>
        <w:t>use a discount</w:t>
      </w:r>
      <w:r w:rsidRPr="008F557E">
        <w:rPr>
          <w:rStyle w:val="FootnoteReference"/>
          <w:b/>
          <w:bCs/>
        </w:rPr>
        <w:footnoteReference w:id="2"/>
      </w:r>
    </w:p>
    <w:p w14:paraId="482280A7" w14:textId="264092AD" w:rsidR="0093700F" w:rsidRDefault="006B7188" w:rsidP="001D2352">
      <w:pPr>
        <w:pStyle w:val="ListParagraph"/>
        <w:numPr>
          <w:ilvl w:val="1"/>
          <w:numId w:val="10"/>
        </w:numPr>
      </w:pPr>
      <w:r>
        <w:t>The uptake of the Cycle to Work scheme</w:t>
      </w:r>
      <w:r w:rsidR="001D3C4C">
        <w:t xml:space="preserve"> in 2023 was used to </w:t>
      </w:r>
      <w:r w:rsidR="001D01DC">
        <w:t xml:space="preserve">indicate the general scale of </w:t>
      </w:r>
      <w:r w:rsidR="00562A15">
        <w:t>uptake of a discount</w:t>
      </w:r>
      <w:r w:rsidR="008B4829">
        <w:t>, in a year,</w:t>
      </w:r>
      <w:r w:rsidR="00562A15">
        <w:t xml:space="preserve"> in this context</w:t>
      </w:r>
    </w:p>
    <w:p w14:paraId="64C557A0" w14:textId="4CFC47D8" w:rsidR="0015053E" w:rsidRDefault="0015053E" w:rsidP="001D2352">
      <w:pPr>
        <w:pStyle w:val="ListParagraph"/>
        <w:numPr>
          <w:ilvl w:val="2"/>
          <w:numId w:val="10"/>
        </w:numPr>
      </w:pPr>
      <w:r>
        <w:t xml:space="preserve">We estimate that </w:t>
      </w:r>
      <w:r w:rsidR="00A21136">
        <w:t>0.82</w:t>
      </w:r>
      <w:r w:rsidR="00987235">
        <w:t>7</w:t>
      </w:r>
      <w:r w:rsidR="00A21136">
        <w:t xml:space="preserve">% of those eligible for the </w:t>
      </w:r>
      <w:r w:rsidR="00595AC0">
        <w:t>C</w:t>
      </w:r>
      <w:r w:rsidR="00A21136">
        <w:t xml:space="preserve">ycle to </w:t>
      </w:r>
      <w:r w:rsidR="00595AC0">
        <w:t>W</w:t>
      </w:r>
      <w:r w:rsidR="00A21136">
        <w:t xml:space="preserve">ork scheme take </w:t>
      </w:r>
      <w:r w:rsidR="002E4D9A">
        <w:t>it up</w:t>
      </w:r>
      <w:r w:rsidR="00A21136">
        <w:t xml:space="preserve"> in a given year</w:t>
      </w:r>
      <w:r w:rsidR="002A1F16">
        <w:t>.</w:t>
      </w:r>
      <w:r w:rsidR="0044583E">
        <w:t xml:space="preserve"> When applied to </w:t>
      </w:r>
      <w:r w:rsidR="00A47D3C">
        <w:t xml:space="preserve">people on low incomes or not in employment, this is </w:t>
      </w:r>
      <w:r w:rsidR="0006003C">
        <w:t>96,737 people.</w:t>
      </w:r>
    </w:p>
    <w:p w14:paraId="50E38F93" w14:textId="4FDB9673" w:rsidR="002A1F16" w:rsidRDefault="00790B23" w:rsidP="001D2352">
      <w:pPr>
        <w:pStyle w:val="ListParagraph"/>
        <w:numPr>
          <w:ilvl w:val="2"/>
          <w:numId w:val="10"/>
        </w:numPr>
      </w:pPr>
      <w:r>
        <w:t xml:space="preserve">As an estimate of annual uptake, this </w:t>
      </w:r>
      <w:r w:rsidR="007677C9">
        <w:t xml:space="preserve">rate of uptake </w:t>
      </w:r>
      <w:r>
        <w:t xml:space="preserve">seems more realistic than our </w:t>
      </w:r>
      <w:r w:rsidR="001C2192">
        <w:t xml:space="preserve">survey results, </w:t>
      </w:r>
      <w:r w:rsidR="007677C9">
        <w:t xml:space="preserve">where </w:t>
      </w:r>
      <w:r w:rsidR="004C4776">
        <w:t>participants</w:t>
      </w:r>
      <w:r w:rsidR="001C2192">
        <w:t xml:space="preserve"> may have been overly optimistic</w:t>
      </w:r>
      <w:r w:rsidR="00A3264C">
        <w:t xml:space="preserve"> (</w:t>
      </w:r>
      <w:r w:rsidR="00C0357E">
        <w:t xml:space="preserve">14% said they would be </w:t>
      </w:r>
      <w:r w:rsidR="00C0357E" w:rsidRPr="00E514FC">
        <w:t xml:space="preserve">very likely </w:t>
      </w:r>
      <w:r w:rsidR="00C0357E">
        <w:t xml:space="preserve">to take up a 40% discount, </w:t>
      </w:r>
      <w:r w:rsidR="00A57A1A">
        <w:t>equivalent to 1.6 million people</w:t>
      </w:r>
      <w:r w:rsidR="00D607D0">
        <w:t>).</w:t>
      </w:r>
    </w:p>
    <w:p w14:paraId="4E283055" w14:textId="7F22911F" w:rsidR="008A6697" w:rsidRPr="008A6697" w:rsidRDefault="008A6697" w:rsidP="001D2352">
      <w:pPr>
        <w:pStyle w:val="ListParagraph"/>
        <w:numPr>
          <w:ilvl w:val="1"/>
          <w:numId w:val="10"/>
        </w:numPr>
      </w:pPr>
      <w:r w:rsidRPr="008A6697">
        <w:t>Our survey data informed the difference between the discount levels, in terms of the number of people taking up the discount. Survey respondents were excluded from the modelling if they were outside of minimum or maximum willingness to pay criteria (see Exclusions from the modelling process section).</w:t>
      </w:r>
    </w:p>
    <w:p w14:paraId="3EEC2482" w14:textId="77777777" w:rsidR="00B0225D" w:rsidRDefault="00B0225D" w:rsidP="00517AD3">
      <w:pPr>
        <w:pStyle w:val="ListParagraph"/>
        <w:numPr>
          <w:ilvl w:val="0"/>
          <w:numId w:val="0"/>
        </w:numPr>
        <w:ind w:left="2160"/>
        <w:rPr>
          <w:b/>
          <w:bCs/>
        </w:rPr>
      </w:pPr>
    </w:p>
    <w:p w14:paraId="39B5B0F6" w14:textId="34DD7EE7" w:rsidR="008B4829" w:rsidRPr="00B0225D" w:rsidRDefault="00561595" w:rsidP="001D2352">
      <w:pPr>
        <w:pStyle w:val="ListParagraph"/>
        <w:numPr>
          <w:ilvl w:val="0"/>
          <w:numId w:val="10"/>
        </w:numPr>
        <w:rPr>
          <w:b/>
          <w:bCs/>
        </w:rPr>
      </w:pPr>
      <w:r w:rsidRPr="00B0225D">
        <w:rPr>
          <w:b/>
          <w:bCs/>
        </w:rPr>
        <w:t xml:space="preserve">The number of cycle trips that people would </w:t>
      </w:r>
      <w:r w:rsidR="00B0225D">
        <w:rPr>
          <w:b/>
          <w:bCs/>
        </w:rPr>
        <w:t>take</w:t>
      </w:r>
      <w:r w:rsidRPr="00B0225D">
        <w:rPr>
          <w:b/>
          <w:bCs/>
        </w:rPr>
        <w:t xml:space="preserve"> if </w:t>
      </w:r>
      <w:r w:rsidR="00837E6F" w:rsidRPr="00B0225D">
        <w:rPr>
          <w:b/>
          <w:bCs/>
        </w:rPr>
        <w:t>they had a discount on a new cycle</w:t>
      </w:r>
      <w:r w:rsidR="00B0225D">
        <w:rPr>
          <w:b/>
          <w:bCs/>
        </w:rPr>
        <w:t xml:space="preserve">. </w:t>
      </w:r>
      <w:r w:rsidR="00B0225D">
        <w:t>This is based on survey data</w:t>
      </w:r>
    </w:p>
    <w:p w14:paraId="1A2E1139" w14:textId="7DAABC35" w:rsidR="00213420" w:rsidRDefault="00213420" w:rsidP="001D2352">
      <w:pPr>
        <w:pStyle w:val="ListParagraph"/>
        <w:numPr>
          <w:ilvl w:val="1"/>
          <w:numId w:val="10"/>
        </w:numPr>
      </w:pPr>
      <w:r>
        <w:t>Respondents</w:t>
      </w:r>
      <w:r w:rsidR="00004863">
        <w:t xml:space="preserve"> were asked how many</w:t>
      </w:r>
      <w:r w:rsidR="00A6702F">
        <w:t xml:space="preserve"> cycle </w:t>
      </w:r>
      <w:r w:rsidR="00004863">
        <w:t xml:space="preserve">trips they </w:t>
      </w:r>
      <w:r w:rsidR="0044202B">
        <w:t xml:space="preserve">would do each week for </w:t>
      </w:r>
      <w:r w:rsidR="00A6702F">
        <w:t>individual purposes:</w:t>
      </w:r>
    </w:p>
    <w:p w14:paraId="1B0B6BE4" w14:textId="5F3F474B" w:rsidR="00A6702F" w:rsidRDefault="00A6702F" w:rsidP="001D2352">
      <w:pPr>
        <w:pStyle w:val="ListParagraph"/>
        <w:numPr>
          <w:ilvl w:val="2"/>
          <w:numId w:val="10"/>
        </w:numPr>
      </w:pPr>
      <w:r w:rsidRPr="00A6702F">
        <w:t>To/from Work</w:t>
      </w:r>
    </w:p>
    <w:p w14:paraId="7840F225" w14:textId="45AF2809" w:rsidR="00A6702F" w:rsidRDefault="00A6702F" w:rsidP="001D2352">
      <w:pPr>
        <w:pStyle w:val="ListParagraph"/>
        <w:numPr>
          <w:ilvl w:val="2"/>
          <w:numId w:val="10"/>
        </w:numPr>
      </w:pPr>
      <w:r w:rsidRPr="00A6702F">
        <w:t>To/from Work in the future if a job is secured</w:t>
      </w:r>
    </w:p>
    <w:p w14:paraId="24865246" w14:textId="6D84ABF2" w:rsidR="00A6702F" w:rsidRDefault="00276BC0" w:rsidP="001D2352">
      <w:pPr>
        <w:pStyle w:val="ListParagraph"/>
        <w:numPr>
          <w:ilvl w:val="2"/>
          <w:numId w:val="10"/>
        </w:numPr>
      </w:pPr>
      <w:r w:rsidRPr="00276BC0">
        <w:t>To/from School, college or university, including escort trips with children</w:t>
      </w:r>
    </w:p>
    <w:p w14:paraId="2F96B289" w14:textId="2CB798C3" w:rsidR="00276BC0" w:rsidRDefault="00276BC0" w:rsidP="001D2352">
      <w:pPr>
        <w:pStyle w:val="ListParagraph"/>
        <w:numPr>
          <w:ilvl w:val="2"/>
          <w:numId w:val="10"/>
        </w:numPr>
      </w:pPr>
      <w:r w:rsidRPr="00276BC0">
        <w:t>For enjoyment or fitness</w:t>
      </w:r>
    </w:p>
    <w:p w14:paraId="59697AF9" w14:textId="53B73295" w:rsidR="00276BC0" w:rsidRDefault="00276BC0" w:rsidP="001D2352">
      <w:pPr>
        <w:pStyle w:val="ListParagraph"/>
        <w:numPr>
          <w:ilvl w:val="2"/>
          <w:numId w:val="10"/>
        </w:numPr>
      </w:pPr>
      <w:r w:rsidRPr="00276BC0">
        <w:t>For all other personal trips, including getting to and from the shops, visiting friends and family or going to the doctors</w:t>
      </w:r>
    </w:p>
    <w:p w14:paraId="4E16A2BD" w14:textId="290A5E69" w:rsidR="00A96FC1" w:rsidRDefault="00A96FC1" w:rsidP="001D2352">
      <w:pPr>
        <w:pStyle w:val="ListParagraph"/>
        <w:numPr>
          <w:ilvl w:val="1"/>
          <w:numId w:val="10"/>
        </w:numPr>
      </w:pPr>
      <w:r>
        <w:lastRenderedPageBreak/>
        <w:t xml:space="preserve">They were also asked </w:t>
      </w:r>
      <w:r w:rsidR="007731A1">
        <w:t>how many of the cycle trips would be:</w:t>
      </w:r>
    </w:p>
    <w:p w14:paraId="401A7CCB" w14:textId="5E459F16" w:rsidR="007731A1" w:rsidRDefault="007731A1" w:rsidP="001D2352">
      <w:pPr>
        <w:pStyle w:val="ListParagraph"/>
        <w:numPr>
          <w:ilvl w:val="2"/>
          <w:numId w:val="10"/>
        </w:numPr>
      </w:pPr>
      <w:r>
        <w:t>Replacing car trips</w:t>
      </w:r>
    </w:p>
    <w:p w14:paraId="423C8E28" w14:textId="4449793A" w:rsidR="007731A1" w:rsidRDefault="007731A1" w:rsidP="001D2352">
      <w:pPr>
        <w:pStyle w:val="ListParagraph"/>
        <w:numPr>
          <w:ilvl w:val="2"/>
          <w:numId w:val="10"/>
        </w:numPr>
      </w:pPr>
      <w:r>
        <w:t>Replacing bus trips</w:t>
      </w:r>
    </w:p>
    <w:p w14:paraId="03ED1B9A" w14:textId="3A6D2A79" w:rsidR="007731A1" w:rsidRDefault="0078503D" w:rsidP="001D2352">
      <w:pPr>
        <w:pStyle w:val="ListParagraph"/>
        <w:numPr>
          <w:ilvl w:val="2"/>
          <w:numId w:val="10"/>
        </w:numPr>
      </w:pPr>
      <w:r>
        <w:t>Replacing train trips</w:t>
      </w:r>
    </w:p>
    <w:p w14:paraId="270E35B9" w14:textId="28E9871F" w:rsidR="0078503D" w:rsidRDefault="0078503D" w:rsidP="001D2352">
      <w:pPr>
        <w:pStyle w:val="ListParagraph"/>
        <w:numPr>
          <w:ilvl w:val="2"/>
          <w:numId w:val="10"/>
        </w:numPr>
      </w:pPr>
      <w:r>
        <w:t>Replacing walking or wheeling trips</w:t>
      </w:r>
    </w:p>
    <w:p w14:paraId="159B90F9" w14:textId="7C9B0000" w:rsidR="0078503D" w:rsidRDefault="0078503D" w:rsidP="001D2352">
      <w:pPr>
        <w:pStyle w:val="ListParagraph"/>
        <w:numPr>
          <w:ilvl w:val="2"/>
          <w:numId w:val="10"/>
        </w:numPr>
      </w:pPr>
      <w:r>
        <w:t>Cycle trips that were taken on their previous cycle</w:t>
      </w:r>
    </w:p>
    <w:p w14:paraId="1384BB1A" w14:textId="19FE3289" w:rsidR="0078503D" w:rsidRDefault="00111690" w:rsidP="001D2352">
      <w:pPr>
        <w:pStyle w:val="ListParagraph"/>
        <w:numPr>
          <w:ilvl w:val="2"/>
          <w:numId w:val="10"/>
        </w:numPr>
      </w:pPr>
      <w:r>
        <w:t>Cycle trips that are new trips, not replacing a trip by another mode.</w:t>
      </w:r>
    </w:p>
    <w:p w14:paraId="30DA5700" w14:textId="77777777" w:rsidR="00E26B25" w:rsidRDefault="00E26B25" w:rsidP="00E26B25">
      <w:pPr>
        <w:pStyle w:val="ListParagraph"/>
        <w:numPr>
          <w:ilvl w:val="0"/>
          <w:numId w:val="0"/>
        </w:numPr>
        <w:ind w:left="2160"/>
      </w:pPr>
    </w:p>
    <w:p w14:paraId="28E094EA" w14:textId="5ADFAB2A" w:rsidR="00111690" w:rsidRPr="00E26B25" w:rsidRDefault="00B15091" w:rsidP="001D2352">
      <w:pPr>
        <w:pStyle w:val="ListParagraph"/>
        <w:numPr>
          <w:ilvl w:val="0"/>
          <w:numId w:val="10"/>
        </w:numPr>
        <w:rPr>
          <w:b/>
          <w:bCs/>
        </w:rPr>
      </w:pPr>
      <w:r w:rsidRPr="00E26B25">
        <w:rPr>
          <w:b/>
          <w:bCs/>
        </w:rPr>
        <w:t>Typical distance of a one way cycle trip for individual purposes</w:t>
      </w:r>
      <w:r w:rsidR="00E26B25">
        <w:t>, also based on survey data.</w:t>
      </w:r>
    </w:p>
    <w:p w14:paraId="5E768F01" w14:textId="77777777" w:rsidR="00B15091" w:rsidRDefault="00B15091" w:rsidP="00B15091">
      <w:pPr>
        <w:ind w:left="720" w:hanging="360"/>
      </w:pPr>
    </w:p>
    <w:p w14:paraId="1D90C84A" w14:textId="16D135EB" w:rsidR="005A3BA8" w:rsidRDefault="00675DBC" w:rsidP="00DD19FA">
      <w:r>
        <w:t>Within</w:t>
      </w:r>
      <w:r w:rsidR="002B3A71">
        <w:t xml:space="preserve"> a given discount level</w:t>
      </w:r>
      <w:r w:rsidR="005056D3">
        <w:t xml:space="preserve"> and trip purpose, the </w:t>
      </w:r>
      <w:r w:rsidR="00231B9C">
        <w:t>proportion</w:t>
      </w:r>
      <w:r>
        <w:t xml:space="preserve"> of respondents</w:t>
      </w:r>
      <w:r w:rsidR="00490151">
        <w:t xml:space="preserve"> </w:t>
      </w:r>
      <w:r w:rsidR="003E150A">
        <w:t>in each ‘number of</w:t>
      </w:r>
      <w:r w:rsidR="008228C7">
        <w:t xml:space="preserve"> cycle</w:t>
      </w:r>
      <w:r w:rsidR="003E150A">
        <w:t xml:space="preserve"> trips per week’ category </w:t>
      </w:r>
      <w:r w:rsidR="008F6974">
        <w:t>is</w:t>
      </w:r>
      <w:r w:rsidR="00490151">
        <w:t xml:space="preserve"> summarised</w:t>
      </w:r>
      <w:r w:rsidR="00431722">
        <w:t xml:space="preserve">. </w:t>
      </w:r>
      <w:r w:rsidR="00290FE0">
        <w:t xml:space="preserve">The number of trips by those in each of the ‘number of cycle trips per week’ categories are </w:t>
      </w:r>
      <w:r w:rsidR="00431722">
        <w:t xml:space="preserve">then </w:t>
      </w:r>
      <w:r w:rsidR="00074E43">
        <w:t>scaled</w:t>
      </w:r>
      <w:r w:rsidR="00431722">
        <w:t xml:space="preserve"> up to</w:t>
      </w:r>
      <w:r w:rsidR="00B92D6E">
        <w:t xml:space="preserve"> the</w:t>
      </w:r>
      <w:r w:rsidR="00431722">
        <w:t xml:space="preserve"> </w:t>
      </w:r>
      <w:r w:rsidR="00CB1314">
        <w:t>population size of those interested in that discount level</w:t>
      </w:r>
      <w:r w:rsidR="00290FE0">
        <w:t>.</w:t>
      </w:r>
    </w:p>
    <w:p w14:paraId="49CDF119" w14:textId="70955CE8" w:rsidR="00DF6168" w:rsidRDefault="00DF6168" w:rsidP="00DD19FA">
      <w:r>
        <w:t>As an example</w:t>
      </w:r>
      <w:r w:rsidR="009B580B">
        <w:t>, if 0.62% of those interested in a 40% discount</w:t>
      </w:r>
      <w:r w:rsidR="0005605A">
        <w:t xml:space="preserve"> (the total population </w:t>
      </w:r>
      <w:r w:rsidR="00237B4E">
        <w:t>interested</w:t>
      </w:r>
      <w:r w:rsidR="00BD709C">
        <w:t>, in this example,</w:t>
      </w:r>
      <w:r w:rsidR="0005605A">
        <w:t xml:space="preserve"> is 96,737)</w:t>
      </w:r>
      <w:r w:rsidR="0019686E">
        <w:t>, said that they would cycle two trips a week to and from work</w:t>
      </w:r>
      <w:r w:rsidR="00531DC9">
        <w:t>, the annual cycle trips cycle by thos</w:t>
      </w:r>
      <w:r w:rsidR="00704D2A">
        <w:t>e</w:t>
      </w:r>
      <w:r w:rsidR="00531DC9">
        <w:t xml:space="preserve"> who cycle two trips a week to and from work can be calculated </w:t>
      </w:r>
      <w:r w:rsidR="00704D2A">
        <w:t>in the following way:</w:t>
      </w:r>
    </w:p>
    <w:p w14:paraId="7C34ABD3" w14:textId="35C396CA" w:rsidR="00704D2A" w:rsidRDefault="00704D2A" w:rsidP="00DD19FA">
      <w:r w:rsidRPr="003C6A8E">
        <w:rPr>
          <w:i/>
          <w:iCs/>
        </w:rPr>
        <w:t>Cycle trips per day</w:t>
      </w:r>
      <w:r w:rsidR="001B166C">
        <w:t xml:space="preserve"> (0.40)</w:t>
      </w:r>
      <w:r>
        <w:t xml:space="preserve"> = </w:t>
      </w:r>
      <w:r w:rsidR="002D6E6A" w:rsidRPr="002D6E6A">
        <w:rPr>
          <w:i/>
          <w:iCs/>
        </w:rPr>
        <w:t>number of trips per week</w:t>
      </w:r>
      <w:r w:rsidR="002D6E6A">
        <w:t xml:space="preserve"> (</w:t>
      </w:r>
      <w:r>
        <w:t>2</w:t>
      </w:r>
      <w:r w:rsidR="002D6E6A">
        <w:t>)</w:t>
      </w:r>
      <w:r w:rsidR="00F26D00">
        <w:t xml:space="preserve"> </w:t>
      </w:r>
      <w:r w:rsidR="003C6A8E">
        <w:t>/</w:t>
      </w:r>
      <w:r w:rsidR="00F26D00">
        <w:t xml:space="preserve"> </w:t>
      </w:r>
      <w:r w:rsidR="003C6A8E">
        <w:t xml:space="preserve">the </w:t>
      </w:r>
      <w:r w:rsidR="003C6A8E" w:rsidRPr="00F26D00">
        <w:rPr>
          <w:i/>
          <w:iCs/>
        </w:rPr>
        <w:t>number of working days in a week</w:t>
      </w:r>
      <w:r w:rsidR="00F26D00">
        <w:t xml:space="preserve"> (5</w:t>
      </w:r>
      <w:r w:rsidR="003C6A8E">
        <w:t>)</w:t>
      </w:r>
    </w:p>
    <w:p w14:paraId="62668340" w14:textId="24ABA8C8" w:rsidR="003C6A8E" w:rsidRDefault="009C1FE8" w:rsidP="00DD19FA">
      <w:r>
        <w:rPr>
          <w:i/>
          <w:iCs/>
        </w:rPr>
        <w:t>Annual cycle trips</w:t>
      </w:r>
      <w:r w:rsidR="00162913">
        <w:t xml:space="preserve"> (</w:t>
      </w:r>
      <w:r w:rsidR="00162913" w:rsidRPr="00162913">
        <w:t>52,748</w:t>
      </w:r>
      <w:r w:rsidR="00162913">
        <w:t>)</w:t>
      </w:r>
      <w:r>
        <w:rPr>
          <w:i/>
          <w:iCs/>
        </w:rPr>
        <w:t xml:space="preserve"> = </w:t>
      </w:r>
      <w:r w:rsidR="00585AA5">
        <w:rPr>
          <w:i/>
          <w:iCs/>
        </w:rPr>
        <w:t xml:space="preserve">Population size </w:t>
      </w:r>
      <w:r w:rsidR="00585AA5" w:rsidRPr="00F26D00">
        <w:t>(96,737)</w:t>
      </w:r>
      <w:r w:rsidR="00585AA5">
        <w:rPr>
          <w:i/>
          <w:iCs/>
        </w:rPr>
        <w:t xml:space="preserve"> </w:t>
      </w:r>
      <w:r w:rsidR="00585AA5">
        <w:t>*</w:t>
      </w:r>
      <w:r w:rsidR="008A75EA">
        <w:t xml:space="preserve"> </w:t>
      </w:r>
      <w:r w:rsidR="008A75EA" w:rsidRPr="008A75EA">
        <w:rPr>
          <w:i/>
          <w:iCs/>
        </w:rPr>
        <w:t xml:space="preserve">% </w:t>
      </w:r>
      <w:r w:rsidR="008A75EA">
        <w:rPr>
          <w:i/>
          <w:iCs/>
        </w:rPr>
        <w:t xml:space="preserve">of those who are interested in a 40% discount </w:t>
      </w:r>
      <w:r w:rsidR="002D6E6A">
        <w:rPr>
          <w:i/>
          <w:iCs/>
        </w:rPr>
        <w:t>that cycle to trips a week to and from work</w:t>
      </w:r>
      <w:r w:rsidR="00DB0CF4">
        <w:rPr>
          <w:i/>
          <w:iCs/>
        </w:rPr>
        <w:t xml:space="preserve"> </w:t>
      </w:r>
      <w:r w:rsidR="002D6E6A">
        <w:t>(</w:t>
      </w:r>
      <w:r w:rsidR="00DB0CF4">
        <w:t xml:space="preserve">0.62%) * </w:t>
      </w:r>
      <w:r w:rsidR="00DB0CF4" w:rsidRPr="00D43C50">
        <w:rPr>
          <w:i/>
          <w:iCs/>
        </w:rPr>
        <w:t xml:space="preserve">Total number of days </w:t>
      </w:r>
      <w:r w:rsidR="00362458" w:rsidRPr="00D43C50">
        <w:rPr>
          <w:i/>
          <w:iCs/>
        </w:rPr>
        <w:t>cycled per year for this purpose</w:t>
      </w:r>
      <w:r w:rsidR="00362458">
        <w:t xml:space="preserve"> (220</w:t>
      </w:r>
      <w:r w:rsidR="00362458">
        <w:rPr>
          <w:rStyle w:val="FootnoteReference"/>
        </w:rPr>
        <w:footnoteReference w:id="3"/>
      </w:r>
      <w:r w:rsidR="00362458">
        <w:t>)</w:t>
      </w:r>
      <w:r w:rsidR="00D43C50">
        <w:t xml:space="preserve"> * </w:t>
      </w:r>
      <w:r w:rsidR="00162913" w:rsidRPr="003C6A8E">
        <w:rPr>
          <w:i/>
          <w:iCs/>
        </w:rPr>
        <w:t>Cycle trips per day</w:t>
      </w:r>
      <w:r w:rsidR="00162913">
        <w:t xml:space="preserve"> (0.40)</w:t>
      </w:r>
    </w:p>
    <w:p w14:paraId="2AFAAC9C" w14:textId="77777777" w:rsidR="0092521C" w:rsidRDefault="0092521C" w:rsidP="00DD19FA"/>
    <w:p w14:paraId="4FA8C9A5" w14:textId="12644486" w:rsidR="00BA56CA" w:rsidRDefault="0092521C" w:rsidP="00DD19FA">
      <w:r>
        <w:t>This process is repeated for each of the ‘number of cycle trips per week’ categories</w:t>
      </w:r>
      <w:r w:rsidR="00BA6142">
        <w:t>. T</w:t>
      </w:r>
      <w:r w:rsidR="00BA56CA">
        <w:t>he</w:t>
      </w:r>
      <w:r w:rsidR="005C36F8">
        <w:t xml:space="preserve"> trip estimates</w:t>
      </w:r>
      <w:r w:rsidR="00EB345F">
        <w:t xml:space="preserve"> generated</w:t>
      </w:r>
      <w:r w:rsidR="005C36F8">
        <w:t xml:space="preserve"> </w:t>
      </w:r>
      <w:r w:rsidR="00EB345F">
        <w:t>across</w:t>
      </w:r>
      <w:r w:rsidR="005C36F8">
        <w:t xml:space="preserve"> </w:t>
      </w:r>
      <w:r w:rsidR="005C36F8">
        <w:lastRenderedPageBreak/>
        <w:t>each</w:t>
      </w:r>
      <w:r w:rsidR="00EB345F">
        <w:t xml:space="preserve"> of</w:t>
      </w:r>
      <w:r w:rsidR="005C36F8">
        <w:t xml:space="preserve"> ‘number of cycle trips per week’ categor</w:t>
      </w:r>
      <w:r w:rsidR="00EB345F">
        <w:t>ies are summed, to obtain an overall annual trip estimate.</w:t>
      </w:r>
    </w:p>
    <w:p w14:paraId="1C853C75" w14:textId="3BD707F1" w:rsidR="00EB345F" w:rsidRDefault="00EB345F" w:rsidP="00DD19FA">
      <w:r>
        <w:t xml:space="preserve">The overall annual trip estimates are </w:t>
      </w:r>
      <w:r w:rsidR="000D15AA">
        <w:t>then refined in two ways:</w:t>
      </w:r>
    </w:p>
    <w:p w14:paraId="7D284714" w14:textId="66D15423" w:rsidR="000D15AA" w:rsidRDefault="000D15AA" w:rsidP="001D2352">
      <w:pPr>
        <w:pStyle w:val="ListParagraph"/>
        <w:numPr>
          <w:ilvl w:val="0"/>
          <w:numId w:val="13"/>
        </w:numPr>
      </w:pPr>
      <w:r>
        <w:t>Seasonal adjustment</w:t>
      </w:r>
      <w:r w:rsidR="009D7B59">
        <w:t xml:space="preserve">: to adjust the estimates so that they are more representative of </w:t>
      </w:r>
      <w:r w:rsidR="00FA06BD">
        <w:t>year</w:t>
      </w:r>
      <w:r w:rsidR="00C74E31">
        <w:t>-</w:t>
      </w:r>
      <w:r w:rsidR="00FA06BD">
        <w:t>round levels, rather than the time of year that they data was collected</w:t>
      </w:r>
    </w:p>
    <w:p w14:paraId="60FC1886" w14:textId="12841FD1" w:rsidR="00FA06BD" w:rsidRDefault="00FA06BD" w:rsidP="001D2352">
      <w:pPr>
        <w:pStyle w:val="ListParagraph"/>
        <w:numPr>
          <w:ilvl w:val="0"/>
          <w:numId w:val="13"/>
        </w:numPr>
      </w:pPr>
      <w:r>
        <w:t xml:space="preserve">Trip chaining: </w:t>
      </w:r>
      <w:r w:rsidR="00080F7F">
        <w:t>accounting for trips that are double counted due to being part of a trip chain.</w:t>
      </w:r>
    </w:p>
    <w:p w14:paraId="51462226" w14:textId="086087B5" w:rsidR="0092521C" w:rsidRDefault="00DF026A" w:rsidP="00DD19FA">
      <w:r>
        <w:t xml:space="preserve">The same process is also applied </w:t>
      </w:r>
      <w:r w:rsidR="00F83BC6">
        <w:t>to the</w:t>
      </w:r>
      <w:r w:rsidR="00274040">
        <w:t xml:space="preserve"> cycle</w:t>
      </w:r>
      <w:r w:rsidR="00F83BC6">
        <w:t xml:space="preserve"> trip data </w:t>
      </w:r>
      <w:r w:rsidR="00B40274">
        <w:t>relating to the source of the trip (e.g. cycle trips replacing car trips</w:t>
      </w:r>
      <w:r w:rsidR="00274040">
        <w:t>,</w:t>
      </w:r>
      <w:r w:rsidR="00B40274">
        <w:t xml:space="preserve"> etc).</w:t>
      </w:r>
    </w:p>
    <w:p w14:paraId="78332DF3" w14:textId="4BB3B709" w:rsidR="00AB4075" w:rsidRDefault="0049357A" w:rsidP="00DD19FA">
      <w:r>
        <w:t>In the survey data</w:t>
      </w:r>
      <w:r w:rsidR="004503F7">
        <w:t>,</w:t>
      </w:r>
      <w:r>
        <w:t xml:space="preserve"> u</w:t>
      </w:r>
      <w:r w:rsidR="0061515A">
        <w:t xml:space="preserve">pper and lower </w:t>
      </w:r>
      <w:r w:rsidR="00E74ACA">
        <w:t>limits for the number of trips</w:t>
      </w:r>
      <w:r>
        <w:t xml:space="preserve"> cycled were set (</w:t>
      </w:r>
      <w:r w:rsidR="00A944C2">
        <w:t>different levels for different trip purposes</w:t>
      </w:r>
      <w:r w:rsidR="00335CB7">
        <w:t>). S</w:t>
      </w:r>
      <w:r w:rsidR="00A944C2">
        <w:t xml:space="preserve">ome trip purpose data </w:t>
      </w:r>
      <w:r w:rsidR="00335CB7">
        <w:t>was</w:t>
      </w:r>
      <w:r w:rsidR="00A944C2">
        <w:t xml:space="preserve"> removed due to being outside of the limits.</w:t>
      </w:r>
    </w:p>
    <w:p w14:paraId="77521BF2" w14:textId="3C732A9E" w:rsidR="00B40274" w:rsidRDefault="009F055B" w:rsidP="00DD19FA">
      <w:r>
        <w:t xml:space="preserve">Median trip distance values were calculated for each </w:t>
      </w:r>
      <w:r w:rsidR="00BA56CA">
        <w:t>trip</w:t>
      </w:r>
      <w:r>
        <w:t xml:space="preserve"> purpose/discount level combination</w:t>
      </w:r>
      <w:r w:rsidR="00BA56CA">
        <w:t xml:space="preserve">. The median trip distance values are applied to the overall </w:t>
      </w:r>
      <w:r w:rsidR="00274040">
        <w:t>trip estimate for the relevant trip purpose</w:t>
      </w:r>
      <w:r w:rsidR="00E56491">
        <w:t>,</w:t>
      </w:r>
      <w:r w:rsidR="00274040">
        <w:t xml:space="preserve"> in order to generate the total distance cycled for that purpose</w:t>
      </w:r>
      <w:r w:rsidR="00AB4075">
        <w:t>.</w:t>
      </w:r>
    </w:p>
    <w:p w14:paraId="301CE3F3" w14:textId="04C00DD7" w:rsidR="00AB4075" w:rsidRDefault="00AB4075" w:rsidP="00AB4075">
      <w:pPr>
        <w:pStyle w:val="Heading2"/>
      </w:pPr>
      <w:r w:rsidRPr="005A3BA8">
        <w:t>Estimat</w:t>
      </w:r>
      <w:r>
        <w:t>ing</w:t>
      </w:r>
      <w:r w:rsidR="00A944C2">
        <w:t xml:space="preserve"> </w:t>
      </w:r>
      <w:r w:rsidR="00A944C2" w:rsidRPr="00A944C2">
        <w:t xml:space="preserve">the cost to </w:t>
      </w:r>
      <w:r w:rsidR="00A944C2">
        <w:t>g</w:t>
      </w:r>
      <w:r w:rsidR="00A944C2" w:rsidRPr="00A944C2">
        <w:t>overnment to provide the discount</w:t>
      </w:r>
    </w:p>
    <w:p w14:paraId="53A6A8D3" w14:textId="7405B846" w:rsidR="00754E4D" w:rsidRDefault="00754E4D" w:rsidP="00825062">
      <w:pPr>
        <w:pStyle w:val="Heading3"/>
      </w:pPr>
      <w:r>
        <w:t>Fixed £ value discount levels</w:t>
      </w:r>
    </w:p>
    <w:p w14:paraId="14A662A1" w14:textId="40769EC2" w:rsidR="00A40C65" w:rsidRDefault="00A40C65" w:rsidP="00442C90">
      <w:r>
        <w:t xml:space="preserve">For the fixed £ value discount levels (£50, £100, £150, £200) </w:t>
      </w:r>
      <w:r w:rsidR="006A4390">
        <w:t xml:space="preserve">the cost to government was calculated </w:t>
      </w:r>
      <w:r w:rsidR="00AD291E">
        <w:t xml:space="preserve">by </w:t>
      </w:r>
      <w:r w:rsidR="00AD291E" w:rsidRPr="00AD291E">
        <w:t>multiply</w:t>
      </w:r>
      <w:r w:rsidR="00AD291E">
        <w:t>ing</w:t>
      </w:r>
      <w:r w:rsidR="00AD291E" w:rsidRPr="00AD291E">
        <w:t xml:space="preserve"> the number of people</w:t>
      </w:r>
      <w:r w:rsidR="00406E09">
        <w:t xml:space="preserve"> would take up</w:t>
      </w:r>
      <w:r w:rsidR="00AD291E" w:rsidRPr="00AD291E">
        <w:t xml:space="preserve"> the discount level by the value of the discount level</w:t>
      </w:r>
      <w:r w:rsidR="00AD291E">
        <w:t>.</w:t>
      </w:r>
    </w:p>
    <w:p w14:paraId="058DAF2E" w14:textId="4AFF0C10" w:rsidR="00754E4D" w:rsidRDefault="00754E4D" w:rsidP="00754E4D">
      <w:pPr>
        <w:pStyle w:val="Heading3"/>
      </w:pPr>
      <w:r>
        <w:lastRenderedPageBreak/>
        <w:t>% discount levels</w:t>
      </w:r>
    </w:p>
    <w:p w14:paraId="27B175FC" w14:textId="77777777" w:rsidR="00250C81" w:rsidRDefault="00623EA1" w:rsidP="00442C90">
      <w:r>
        <w:t xml:space="preserve">There </w:t>
      </w:r>
      <w:r w:rsidR="007239C9">
        <w:t xml:space="preserve">is greater complexity in the calculation of the cost to government for the </w:t>
      </w:r>
      <w:r w:rsidR="00AD291E">
        <w:t>% discount levels</w:t>
      </w:r>
      <w:r w:rsidR="007239C9">
        <w:t xml:space="preserve">. </w:t>
      </w:r>
      <w:r w:rsidR="00D8476C">
        <w:t>In our survey</w:t>
      </w:r>
      <w:r w:rsidR="00F928AC">
        <w:t>,</w:t>
      </w:r>
      <w:r w:rsidR="00D8476C">
        <w:t xml:space="preserve"> </w:t>
      </w:r>
      <w:r w:rsidR="00AE7220">
        <w:t>r</w:t>
      </w:r>
      <w:r w:rsidR="00D8476C">
        <w:t>espondents were asked</w:t>
      </w:r>
      <w:r w:rsidR="00250C81">
        <w:t>:</w:t>
      </w:r>
      <w:r w:rsidR="00D8476C">
        <w:t xml:space="preserve"> </w:t>
      </w:r>
    </w:p>
    <w:p w14:paraId="5998C254" w14:textId="0582C63C" w:rsidR="00442C90" w:rsidRDefault="00250C81" w:rsidP="001D2352">
      <w:pPr>
        <w:pStyle w:val="ListParagraph"/>
        <w:numPr>
          <w:ilvl w:val="0"/>
          <w:numId w:val="14"/>
        </w:numPr>
      </w:pPr>
      <w:r>
        <w:t>H</w:t>
      </w:r>
      <w:r w:rsidR="00D8476C">
        <w:t>ow much they’d be willing to pay for a new cycle (and any required accessories)</w:t>
      </w:r>
      <w:r w:rsidR="00F928AC">
        <w:t xml:space="preserve"> after accounting</w:t>
      </w:r>
      <w:r>
        <w:t xml:space="preserve"> for</w:t>
      </w:r>
      <w:r w:rsidR="00F928AC">
        <w:t xml:space="preserve"> </w:t>
      </w:r>
      <w:r w:rsidR="00123633">
        <w:t>any financial support</w:t>
      </w:r>
    </w:p>
    <w:p w14:paraId="46BADCA4" w14:textId="2A469596" w:rsidR="00B56E28" w:rsidRDefault="00250C81" w:rsidP="001D2352">
      <w:pPr>
        <w:pStyle w:val="ListParagraph"/>
        <w:numPr>
          <w:ilvl w:val="0"/>
          <w:numId w:val="14"/>
        </w:numPr>
      </w:pPr>
      <w:r>
        <w:t>W</w:t>
      </w:r>
      <w:r w:rsidR="00B56E28">
        <w:t xml:space="preserve">hich type of cycle (standard bicycle, </w:t>
      </w:r>
      <w:r w:rsidR="007444CB">
        <w:t xml:space="preserve">electric bicycle, cargo cycle, </w:t>
      </w:r>
      <w:r w:rsidR="000A46F9">
        <w:t>adapted</w:t>
      </w:r>
      <w:r w:rsidR="007444CB">
        <w:t xml:space="preserve"> cycle)</w:t>
      </w:r>
      <w:r w:rsidR="009265DD">
        <w:t xml:space="preserve"> they’d be interested in using the financial support to purchase (if any).</w:t>
      </w:r>
    </w:p>
    <w:p w14:paraId="2ABB823C" w14:textId="539A6646" w:rsidR="00EC0089" w:rsidRDefault="003341E0" w:rsidP="00442C90">
      <w:r>
        <w:t>Using this data</w:t>
      </w:r>
      <w:r w:rsidR="00B62910">
        <w:t>,</w:t>
      </w:r>
      <w:r>
        <w:t xml:space="preserve"> we were able to calculate</w:t>
      </w:r>
      <w:r w:rsidR="00EC0089">
        <w:t>:</w:t>
      </w:r>
    </w:p>
    <w:p w14:paraId="79B96C20" w14:textId="737C2574" w:rsidR="00EC0089" w:rsidRDefault="00EC0089" w:rsidP="001D2352">
      <w:pPr>
        <w:pStyle w:val="ListParagraph"/>
        <w:numPr>
          <w:ilvl w:val="0"/>
          <w:numId w:val="15"/>
        </w:numPr>
      </w:pPr>
      <w:r>
        <w:t>T</w:t>
      </w:r>
      <w:r w:rsidR="003341E0">
        <w:t>he median</w:t>
      </w:r>
      <w:r w:rsidR="00E5521A">
        <w:t xml:space="preserve"> </w:t>
      </w:r>
      <w:r w:rsidR="00E5521A" w:rsidRPr="008566B8">
        <w:rPr>
          <w:b/>
          <w:bCs/>
        </w:rPr>
        <w:t>total</w:t>
      </w:r>
      <w:r w:rsidR="00E5521A">
        <w:t xml:space="preserve"> bicycle </w:t>
      </w:r>
      <w:r w:rsidR="00D337A1">
        <w:t>(and accessories) cost</w:t>
      </w:r>
      <w:r w:rsidR="00F62B85">
        <w:t xml:space="preserve"> (without discount)</w:t>
      </w:r>
      <w:r w:rsidR="00D337A1">
        <w:t xml:space="preserve"> for each discount level</w:t>
      </w:r>
    </w:p>
    <w:p w14:paraId="00811DD3" w14:textId="4D307B70" w:rsidR="00C43D6A" w:rsidRDefault="00E362A8" w:rsidP="001D2352">
      <w:pPr>
        <w:pStyle w:val="ListParagraph"/>
        <w:numPr>
          <w:ilvl w:val="0"/>
          <w:numId w:val="15"/>
        </w:numPr>
      </w:pPr>
      <w:r>
        <w:t>T</w:t>
      </w:r>
      <w:r w:rsidR="00AE7220">
        <w:t>he</w:t>
      </w:r>
      <w:r w:rsidR="00960A27">
        <w:t xml:space="preserve"> median</w:t>
      </w:r>
      <w:r w:rsidR="00AE7220">
        <w:t xml:space="preserve"> </w:t>
      </w:r>
      <w:r w:rsidR="002E132D" w:rsidRPr="008566B8">
        <w:rPr>
          <w:b/>
          <w:bCs/>
        </w:rPr>
        <w:t>cost to government</w:t>
      </w:r>
      <w:r w:rsidR="002E132D" w:rsidRPr="002E132D">
        <w:t xml:space="preserve"> to provide the discount</w:t>
      </w:r>
      <w:r w:rsidR="002E132D" w:rsidRPr="002E132D" w:rsidDel="002E132D">
        <w:t xml:space="preserve"> </w:t>
      </w:r>
      <w:r w:rsidR="00133036">
        <w:t xml:space="preserve"> </w:t>
      </w:r>
      <w:r w:rsidR="00800DDB">
        <w:t xml:space="preserve">value </w:t>
      </w:r>
      <w:r w:rsidR="00133036">
        <w:t>associated with the</w:t>
      </w:r>
      <w:r w:rsidR="00DE0648">
        <w:t xml:space="preserve"> level of discount</w:t>
      </w:r>
      <w:r w:rsidR="00424370">
        <w:t>.</w:t>
      </w:r>
    </w:p>
    <w:p w14:paraId="7E1EA9ED" w14:textId="4CAABDE7" w:rsidR="00E362A8" w:rsidRDefault="00941973" w:rsidP="00442C90">
      <w:r>
        <w:t xml:space="preserve">A median cost to government to provide the discount is calculated </w:t>
      </w:r>
      <w:r w:rsidR="00E362A8">
        <w:t>separately for:</w:t>
      </w:r>
    </w:p>
    <w:p w14:paraId="5C0F963B" w14:textId="4D4421F5" w:rsidR="00E362A8" w:rsidRDefault="00E362A8" w:rsidP="001D2352">
      <w:pPr>
        <w:pStyle w:val="ListParagraph"/>
        <w:numPr>
          <w:ilvl w:val="0"/>
          <w:numId w:val="16"/>
        </w:numPr>
      </w:pPr>
      <w:r>
        <w:t>S</w:t>
      </w:r>
      <w:r w:rsidR="00873E50">
        <w:t>tandard bicycles</w:t>
      </w:r>
    </w:p>
    <w:p w14:paraId="0E10AE89" w14:textId="602DDDA9" w:rsidR="00FC6E8E" w:rsidRDefault="00E362A8" w:rsidP="001D2352">
      <w:pPr>
        <w:pStyle w:val="ListParagraph"/>
        <w:numPr>
          <w:ilvl w:val="0"/>
          <w:numId w:val="16"/>
        </w:numPr>
      </w:pPr>
      <w:r>
        <w:t>N</w:t>
      </w:r>
      <w:r w:rsidR="00873E50">
        <w:t xml:space="preserve">on-standard cycles (electric </w:t>
      </w:r>
      <w:r w:rsidR="00AD5C4D">
        <w:t>cy</w:t>
      </w:r>
      <w:r w:rsidR="00873E50">
        <w:t>cle, cargo cycle, adapted cycle)</w:t>
      </w:r>
      <w:r w:rsidR="00E4596A">
        <w:t>.</w:t>
      </w:r>
    </w:p>
    <w:p w14:paraId="763403F4" w14:textId="395B823E" w:rsidR="00B45875" w:rsidRDefault="00910141" w:rsidP="00442C90">
      <w:r>
        <w:t>To obtain a total cost to government, the</w:t>
      </w:r>
      <w:r w:rsidR="00960A27">
        <w:t xml:space="preserve"> median cost to government</w:t>
      </w:r>
      <w:r w:rsidR="00B45875">
        <w:t xml:space="preserve"> to provide the discount to an individual</w:t>
      </w:r>
      <w:r w:rsidR="00135B6A">
        <w:t xml:space="preserve"> wanting to buy a </w:t>
      </w:r>
      <w:r w:rsidR="00135B6A" w:rsidRPr="008566B8">
        <w:rPr>
          <w:b/>
          <w:bCs/>
        </w:rPr>
        <w:t xml:space="preserve">standard </w:t>
      </w:r>
      <w:r w:rsidR="00B72E0C">
        <w:rPr>
          <w:b/>
          <w:bCs/>
        </w:rPr>
        <w:t>bi</w:t>
      </w:r>
      <w:r w:rsidR="00135B6A" w:rsidRPr="008566B8">
        <w:rPr>
          <w:b/>
          <w:bCs/>
        </w:rPr>
        <w:t>cycle</w:t>
      </w:r>
      <w:r w:rsidR="00960A27">
        <w:t xml:space="preserve"> is multiplied by the number of people</w:t>
      </w:r>
      <w:r w:rsidR="00F62B85">
        <w:t xml:space="preserve"> </w:t>
      </w:r>
      <w:r w:rsidR="00406E09">
        <w:t>taking up the discount</w:t>
      </w:r>
      <w:r w:rsidR="002D1357">
        <w:t xml:space="preserve"> to buy a </w:t>
      </w:r>
      <w:r w:rsidR="002D1357" w:rsidRPr="008566B8">
        <w:rPr>
          <w:b/>
          <w:bCs/>
        </w:rPr>
        <w:t>standard bicycle</w:t>
      </w:r>
      <w:r w:rsidR="00406E09">
        <w:t>.</w:t>
      </w:r>
      <w:r w:rsidR="002D1357">
        <w:t xml:space="preserve"> The same calculation is conducted for </w:t>
      </w:r>
      <w:r w:rsidR="002D1357" w:rsidRPr="008566B8">
        <w:rPr>
          <w:b/>
          <w:bCs/>
        </w:rPr>
        <w:t>non-standard cycles</w:t>
      </w:r>
      <w:r w:rsidR="00565716">
        <w:t>, and th</w:t>
      </w:r>
      <w:r w:rsidR="00872F48">
        <w:t>e arising costs are summed.</w:t>
      </w:r>
    </w:p>
    <w:p w14:paraId="480FFDDF" w14:textId="4F9756D5" w:rsidR="000D3F16" w:rsidRDefault="00BD09BA" w:rsidP="00442C90">
      <w:r>
        <w:t>The model allows the user to specify</w:t>
      </w:r>
      <w:r w:rsidR="00006ECE">
        <w:t xml:space="preserve"> three </w:t>
      </w:r>
      <w:r w:rsidR="000D3F16" w:rsidRPr="000D3F16">
        <w:t>different cycle type offering</w:t>
      </w:r>
      <w:r w:rsidR="000D3F16">
        <w:t>s:</w:t>
      </w:r>
    </w:p>
    <w:p w14:paraId="69692227" w14:textId="6447007C" w:rsidR="000D3F16" w:rsidRDefault="000802B2" w:rsidP="001D2352">
      <w:pPr>
        <w:pStyle w:val="ListParagraph"/>
        <w:numPr>
          <w:ilvl w:val="0"/>
          <w:numId w:val="17"/>
        </w:numPr>
      </w:pPr>
      <w:r w:rsidRPr="000802B2">
        <w:t xml:space="preserve">A 90% standard cycle/ 10% non-standard cycle split (based on the broad distribution of UK </w:t>
      </w:r>
      <w:r w:rsidR="002407D7">
        <w:t>c</w:t>
      </w:r>
      <w:r w:rsidRPr="000802B2">
        <w:t>ycle sales</w:t>
      </w:r>
      <w:r w:rsidR="00490AC1">
        <w:t>, according to</w:t>
      </w:r>
      <w:r w:rsidRPr="000802B2">
        <w:t xml:space="preserve"> data provided by the Bicycle Association</w:t>
      </w:r>
      <w:r>
        <w:t>)</w:t>
      </w:r>
    </w:p>
    <w:p w14:paraId="05578F9D" w14:textId="1AEB992B" w:rsidR="000802B2" w:rsidRDefault="00086F75" w:rsidP="001D2352">
      <w:pPr>
        <w:pStyle w:val="ListParagraph"/>
        <w:numPr>
          <w:ilvl w:val="0"/>
          <w:numId w:val="17"/>
        </w:numPr>
      </w:pPr>
      <w:r>
        <w:t>A standard cycle only scheme</w:t>
      </w:r>
    </w:p>
    <w:p w14:paraId="09BB092A" w14:textId="2BB6F9DC" w:rsidR="00086F75" w:rsidRDefault="00894797" w:rsidP="001D2352">
      <w:pPr>
        <w:pStyle w:val="ListParagraph"/>
        <w:numPr>
          <w:ilvl w:val="0"/>
          <w:numId w:val="17"/>
        </w:numPr>
      </w:pPr>
      <w:r>
        <w:t>A non-standard cycle only scheme.</w:t>
      </w:r>
    </w:p>
    <w:p w14:paraId="0E79903C" w14:textId="66AF5CFE" w:rsidR="00E85348" w:rsidRDefault="00E85348" w:rsidP="00E85348">
      <w:r>
        <w:lastRenderedPageBreak/>
        <w:t xml:space="preserve">These different cycle type </w:t>
      </w:r>
      <w:r w:rsidR="003601F6">
        <w:t>offerings have different numbers of people using the scheme</w:t>
      </w:r>
      <w:r w:rsidR="00397A16">
        <w:t xml:space="preserve"> and different costs, associated with them.</w:t>
      </w:r>
    </w:p>
    <w:p w14:paraId="4E8396B8" w14:textId="77777777" w:rsidR="00DD19FA" w:rsidRDefault="00DD19FA" w:rsidP="00343599">
      <w:pPr>
        <w:pStyle w:val="Heading2"/>
      </w:pPr>
      <w:r>
        <w:t>Economic costs and benefits</w:t>
      </w:r>
    </w:p>
    <w:p w14:paraId="063E3518" w14:textId="565686BE" w:rsidR="00915558" w:rsidRDefault="00AD21AB">
      <w:r>
        <w:t xml:space="preserve">The calculation of economic costs and benefits is </w:t>
      </w:r>
      <w:r w:rsidR="00890B87">
        <w:t xml:space="preserve">based on the </w:t>
      </w:r>
      <w:r w:rsidR="00B52EBF">
        <w:t>Societal Gain Model</w:t>
      </w:r>
      <w:r w:rsidR="00694317">
        <w:t>,</w:t>
      </w:r>
      <w:r w:rsidR="00B15EA2">
        <w:t xml:space="preserve"> developed by Sustrans as part of the Index programme</w:t>
      </w:r>
      <w:r w:rsidR="008829BC">
        <w:rPr>
          <w:rStyle w:val="FootnoteReference"/>
        </w:rPr>
        <w:footnoteReference w:id="4"/>
      </w:r>
      <w:r w:rsidR="00890B87">
        <w:t xml:space="preserve">. The </w:t>
      </w:r>
      <w:r w:rsidR="00B52EBF">
        <w:t xml:space="preserve">Societal Gain Model </w:t>
      </w:r>
      <w:r w:rsidR="5EC293CF">
        <w:t xml:space="preserve">puts a financial value on </w:t>
      </w:r>
      <w:r w:rsidR="00915558">
        <w:t>walking</w:t>
      </w:r>
      <w:r w:rsidR="591F837F">
        <w:t xml:space="preserve">, </w:t>
      </w:r>
      <w:r w:rsidR="00915558">
        <w:t xml:space="preserve">cycling </w:t>
      </w:r>
      <w:r w:rsidR="0DA5A589">
        <w:t xml:space="preserve">and driving </w:t>
      </w:r>
      <w:r w:rsidR="00915558">
        <w:t xml:space="preserve">by assigning </w:t>
      </w:r>
      <w:r w:rsidR="1763BC6D">
        <w:t>v</w:t>
      </w:r>
      <w:r w:rsidR="00915558">
        <w:t>a</w:t>
      </w:r>
      <w:r w:rsidR="1763BC6D">
        <w:t xml:space="preserve">lues </w:t>
      </w:r>
      <w:r w:rsidR="00915558">
        <w:t xml:space="preserve">to </w:t>
      </w:r>
      <w:r w:rsidR="12265976">
        <w:t>their</w:t>
      </w:r>
      <w:r w:rsidR="000420EB">
        <w:t xml:space="preserve"> related</w:t>
      </w:r>
      <w:r w:rsidR="12265976" w:rsidDel="000420EB">
        <w:t xml:space="preserve"> </w:t>
      </w:r>
      <w:r w:rsidR="00915558">
        <w:t>costs</w:t>
      </w:r>
      <w:r w:rsidR="00B562B4">
        <w:t xml:space="preserve"> and benefits</w:t>
      </w:r>
      <w:r w:rsidR="0036731A">
        <w:t xml:space="preserve">. </w:t>
      </w:r>
      <w:r w:rsidR="00353D9F">
        <w:t>For example</w:t>
      </w:r>
      <w:r w:rsidR="00863719">
        <w:t>,</w:t>
      </w:r>
      <w:r w:rsidR="00DD2483">
        <w:t xml:space="preserve"> it incorporates</w:t>
      </w:r>
      <w:r w:rsidR="00353D9F">
        <w:t xml:space="preserve"> the cost to run a car </w:t>
      </w:r>
      <w:r w:rsidR="00DD2483">
        <w:t xml:space="preserve">and </w:t>
      </w:r>
      <w:r w:rsidR="00353D9F">
        <w:t xml:space="preserve">the health benefits </w:t>
      </w:r>
      <w:r w:rsidR="002216FB">
        <w:t>to the NHS from being physically active cycling.</w:t>
      </w:r>
    </w:p>
    <w:p w14:paraId="50E89C09" w14:textId="00BC61FF" w:rsidR="00EB6013" w:rsidRDefault="7177AC9F" w:rsidP="0A40F814">
      <w:r>
        <w:t>The benefits and costs included</w:t>
      </w:r>
      <w:r w:rsidR="002216FB">
        <w:t xml:space="preserve"> in our model</w:t>
      </w:r>
      <w:r>
        <w:t xml:space="preserve"> are shown in the table below. </w:t>
      </w:r>
      <w:r w:rsidR="00CA5B41">
        <w:t>Internal costs and benefits are those to the individual, while external</w:t>
      </w:r>
      <w:r w:rsidR="002E2792">
        <w:t xml:space="preserve"> costs and benefits</w:t>
      </w:r>
      <w:r w:rsidR="00CA5B41">
        <w:t xml:space="preserve"> are to society.</w:t>
      </w:r>
      <w:r>
        <w:t xml:space="preserve"> </w:t>
      </w:r>
    </w:p>
    <w:p w14:paraId="586AFD0B" w14:textId="77777777" w:rsidR="007D6DFA" w:rsidRDefault="007D6DFA" w:rsidP="0A40F814"/>
    <w:p w14:paraId="36FB839A" w14:textId="19364246" w:rsidR="007D6DFA" w:rsidRDefault="00FD04C9" w:rsidP="004A1F4B">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w:t>
      </w:r>
      <w:r w:rsidR="007D6DFA">
        <w:t xml:space="preserve">Description of </w:t>
      </w:r>
      <w:r w:rsidR="00B52EBF">
        <w:t>S</w:t>
      </w:r>
      <w:r>
        <w:t xml:space="preserve">ocietal </w:t>
      </w:r>
      <w:r w:rsidR="00B52EBF">
        <w:t>G</w:t>
      </w:r>
      <w:r>
        <w:t xml:space="preserve">ain </w:t>
      </w:r>
      <w:r w:rsidR="00B52EBF">
        <w:t>M</w:t>
      </w:r>
      <w:r>
        <w:t>odel costs and benefits categories</w:t>
      </w:r>
    </w:p>
    <w:tbl>
      <w:tblPr>
        <w:tblStyle w:val="Plaintable"/>
        <w:tblpPr w:leftFromText="180" w:rightFromText="180" w:vertAnchor="text" w:horzAnchor="margin" w:tblpY="168"/>
        <w:tblW w:w="7933" w:type="dxa"/>
        <w:tblLook w:val="04A0" w:firstRow="1" w:lastRow="0" w:firstColumn="1" w:lastColumn="0" w:noHBand="0" w:noVBand="1"/>
      </w:tblPr>
      <w:tblGrid>
        <w:gridCol w:w="2405"/>
        <w:gridCol w:w="5528"/>
      </w:tblGrid>
      <w:tr w:rsidR="00937CDD" w:rsidRPr="00915558" w14:paraId="4DD25DAD" w14:textId="77777777" w:rsidTr="00EE5481">
        <w:trPr>
          <w:cnfStyle w:val="100000000000" w:firstRow="1" w:lastRow="0" w:firstColumn="0" w:lastColumn="0" w:oddVBand="0" w:evenVBand="0" w:oddHBand="0" w:evenHBand="0" w:firstRowFirstColumn="0" w:firstRowLastColumn="0" w:lastRowFirstColumn="0" w:lastRowLastColumn="0"/>
        </w:trPr>
        <w:tc>
          <w:tcPr>
            <w:tcW w:w="0" w:type="dxa"/>
          </w:tcPr>
          <w:p w14:paraId="2B0DBA22" w14:textId="77777777" w:rsidR="00937CDD" w:rsidRPr="004A1F4B" w:rsidRDefault="00937CDD">
            <w:pPr>
              <w:rPr>
                <w:bCs/>
              </w:rPr>
            </w:pPr>
            <w:r w:rsidRPr="004A1F4B">
              <w:rPr>
                <w:bCs/>
              </w:rPr>
              <w:t>Cost/benefit</w:t>
            </w:r>
          </w:p>
        </w:tc>
        <w:tc>
          <w:tcPr>
            <w:tcW w:w="0" w:type="dxa"/>
          </w:tcPr>
          <w:p w14:paraId="48AA7189" w14:textId="77777777" w:rsidR="00937CDD" w:rsidRPr="004A1F4B" w:rsidRDefault="00937CDD">
            <w:pPr>
              <w:rPr>
                <w:bCs/>
              </w:rPr>
            </w:pPr>
            <w:r w:rsidRPr="004A1F4B">
              <w:rPr>
                <w:bCs/>
              </w:rPr>
              <w:t>Description</w:t>
            </w:r>
          </w:p>
        </w:tc>
      </w:tr>
      <w:tr w:rsidR="00937CDD" w:rsidRPr="00915558" w14:paraId="52E876D2" w14:textId="77777777">
        <w:tc>
          <w:tcPr>
            <w:tcW w:w="2405" w:type="dxa"/>
          </w:tcPr>
          <w:p w14:paraId="1A608593" w14:textId="77777777" w:rsidR="00937CDD" w:rsidRPr="00915558" w:rsidRDefault="00937CDD">
            <w:pPr>
              <w:rPr>
                <w:sz w:val="22"/>
                <w:szCs w:val="22"/>
              </w:rPr>
            </w:pPr>
            <w:r w:rsidRPr="00915558">
              <w:rPr>
                <w:sz w:val="22"/>
                <w:szCs w:val="22"/>
              </w:rPr>
              <w:t>Time Cost (travel time, non-work)</w:t>
            </w:r>
          </w:p>
        </w:tc>
        <w:tc>
          <w:tcPr>
            <w:tcW w:w="5528" w:type="dxa"/>
          </w:tcPr>
          <w:p w14:paraId="03F11613" w14:textId="77777777" w:rsidR="00937CDD" w:rsidRPr="00915558" w:rsidRDefault="00937CDD">
            <w:pPr>
              <w:rPr>
                <w:sz w:val="22"/>
                <w:szCs w:val="22"/>
              </w:rPr>
            </w:pPr>
            <w:r>
              <w:rPr>
                <w:sz w:val="22"/>
                <w:szCs w:val="22"/>
              </w:rPr>
              <w:t>The value of time spent travelling. The value of time is from the country’s transport appraisal guidance and is divided by the average speed. No time cost is ascribed to leisure trips. Internal only.</w:t>
            </w:r>
          </w:p>
        </w:tc>
      </w:tr>
      <w:tr w:rsidR="00937CDD" w:rsidRPr="00915558" w14:paraId="5DF8F292" w14:textId="77777777">
        <w:tc>
          <w:tcPr>
            <w:tcW w:w="2405" w:type="dxa"/>
          </w:tcPr>
          <w:p w14:paraId="3B233EAA" w14:textId="77777777" w:rsidR="00937CDD" w:rsidRPr="00915558" w:rsidRDefault="00937CDD">
            <w:pPr>
              <w:rPr>
                <w:sz w:val="22"/>
                <w:szCs w:val="22"/>
              </w:rPr>
            </w:pPr>
            <w:r w:rsidRPr="00915558">
              <w:rPr>
                <w:sz w:val="22"/>
                <w:szCs w:val="22"/>
              </w:rPr>
              <w:t>Vehicle Operating Costs</w:t>
            </w:r>
          </w:p>
        </w:tc>
        <w:tc>
          <w:tcPr>
            <w:tcW w:w="5528" w:type="dxa"/>
          </w:tcPr>
          <w:p w14:paraId="5227DA92" w14:textId="77777777" w:rsidR="00937CDD" w:rsidRPr="00915558" w:rsidRDefault="00937CDD">
            <w:pPr>
              <w:rPr>
                <w:sz w:val="22"/>
                <w:szCs w:val="22"/>
              </w:rPr>
            </w:pPr>
            <w:r w:rsidRPr="6C86D005">
              <w:rPr>
                <w:sz w:val="22"/>
                <w:szCs w:val="22"/>
              </w:rPr>
              <w:t>The cost of owning and running a car (driving), cycle (cycling)</w:t>
            </w:r>
            <w:r>
              <w:rPr>
                <w:sz w:val="22"/>
                <w:szCs w:val="22"/>
              </w:rPr>
              <w:t xml:space="preserve"> or </w:t>
            </w:r>
            <w:r w:rsidRPr="6C86D005">
              <w:rPr>
                <w:sz w:val="22"/>
                <w:szCs w:val="22"/>
              </w:rPr>
              <w:t>shoe wear (walking).</w:t>
            </w:r>
            <w:r>
              <w:rPr>
                <w:sz w:val="22"/>
                <w:szCs w:val="22"/>
              </w:rPr>
              <w:t xml:space="preserve"> </w:t>
            </w:r>
            <w:r w:rsidRPr="6C86D005">
              <w:rPr>
                <w:sz w:val="22"/>
                <w:szCs w:val="22"/>
              </w:rPr>
              <w:t>Excludes initial purchase cost.</w:t>
            </w:r>
            <w:r>
              <w:rPr>
                <w:sz w:val="22"/>
                <w:szCs w:val="22"/>
              </w:rPr>
              <w:t xml:space="preserve"> For train and bus travel this is the cost of the fare (internal) and the rest of the operating costs (external).</w:t>
            </w:r>
            <w:r w:rsidRPr="6C86D005">
              <w:rPr>
                <w:sz w:val="22"/>
                <w:szCs w:val="22"/>
              </w:rPr>
              <w:t xml:space="preserve"> </w:t>
            </w:r>
            <w:r>
              <w:rPr>
                <w:sz w:val="22"/>
                <w:szCs w:val="22"/>
              </w:rPr>
              <w:t>Internal cost; For cars,</w:t>
            </w:r>
            <w:r w:rsidRPr="6C86D005">
              <w:rPr>
                <w:sz w:val="22"/>
                <w:szCs w:val="22"/>
              </w:rPr>
              <w:t xml:space="preserve"> </w:t>
            </w:r>
            <w:r>
              <w:rPr>
                <w:sz w:val="22"/>
                <w:szCs w:val="22"/>
              </w:rPr>
              <w:t>v</w:t>
            </w:r>
            <w:r w:rsidRPr="6C86D005">
              <w:rPr>
                <w:sz w:val="22"/>
                <w:szCs w:val="22"/>
              </w:rPr>
              <w:t>ehicle tax is considered an external benefit but an internal cost.</w:t>
            </w:r>
          </w:p>
        </w:tc>
      </w:tr>
      <w:tr w:rsidR="00937CDD" w:rsidRPr="00915558" w14:paraId="69347367" w14:textId="77777777">
        <w:tc>
          <w:tcPr>
            <w:tcW w:w="2405" w:type="dxa"/>
          </w:tcPr>
          <w:p w14:paraId="327EBB95" w14:textId="77777777" w:rsidR="00937CDD" w:rsidRPr="00915558" w:rsidRDefault="00937CDD">
            <w:pPr>
              <w:rPr>
                <w:sz w:val="22"/>
                <w:szCs w:val="22"/>
              </w:rPr>
            </w:pPr>
            <w:r w:rsidRPr="00915558">
              <w:rPr>
                <w:sz w:val="22"/>
                <w:szCs w:val="22"/>
              </w:rPr>
              <w:t>Prolonged Life</w:t>
            </w:r>
          </w:p>
        </w:tc>
        <w:tc>
          <w:tcPr>
            <w:tcW w:w="5528" w:type="dxa"/>
          </w:tcPr>
          <w:p w14:paraId="42EF1639" w14:textId="77777777" w:rsidR="00937CDD" w:rsidRPr="00915558" w:rsidRDefault="00937CDD">
            <w:pPr>
              <w:rPr>
                <w:sz w:val="22"/>
                <w:szCs w:val="22"/>
              </w:rPr>
            </w:pPr>
            <w:r>
              <w:rPr>
                <w:sz w:val="22"/>
                <w:szCs w:val="22"/>
              </w:rPr>
              <w:t>Longer life expectancy from physical activity. Internal benefit and a small external cost (welfare cost).</w:t>
            </w:r>
          </w:p>
        </w:tc>
      </w:tr>
      <w:tr w:rsidR="00937CDD" w:rsidRPr="00915558" w14:paraId="00A705F6" w14:textId="77777777">
        <w:tc>
          <w:tcPr>
            <w:tcW w:w="2405" w:type="dxa"/>
          </w:tcPr>
          <w:p w14:paraId="1C3C296F" w14:textId="77777777" w:rsidR="00937CDD" w:rsidRPr="00915558" w:rsidRDefault="00937CDD">
            <w:pPr>
              <w:rPr>
                <w:sz w:val="22"/>
                <w:szCs w:val="22"/>
              </w:rPr>
            </w:pPr>
            <w:r w:rsidRPr="00915558">
              <w:rPr>
                <w:sz w:val="22"/>
                <w:szCs w:val="22"/>
              </w:rPr>
              <w:lastRenderedPageBreak/>
              <w:t xml:space="preserve">Health </w:t>
            </w:r>
          </w:p>
        </w:tc>
        <w:tc>
          <w:tcPr>
            <w:tcW w:w="5528" w:type="dxa"/>
          </w:tcPr>
          <w:p w14:paraId="4B0E5A32" w14:textId="77777777" w:rsidR="00937CDD" w:rsidRPr="00915558" w:rsidRDefault="00937CDD">
            <w:pPr>
              <w:rPr>
                <w:sz w:val="22"/>
                <w:szCs w:val="22"/>
              </w:rPr>
            </w:pPr>
            <w:r>
              <w:rPr>
                <w:sz w:val="22"/>
                <w:szCs w:val="22"/>
              </w:rPr>
              <w:t>Decrease in illness incidence, reduced cost of medical treatments, fewer days of sick leave. Includes both an internal and external benefit.</w:t>
            </w:r>
          </w:p>
        </w:tc>
      </w:tr>
      <w:tr w:rsidR="00937CDD" w:rsidRPr="00915558" w14:paraId="71FB562B" w14:textId="77777777">
        <w:tc>
          <w:tcPr>
            <w:tcW w:w="2405" w:type="dxa"/>
          </w:tcPr>
          <w:p w14:paraId="229C6105" w14:textId="77777777" w:rsidR="00937CDD" w:rsidRPr="00915558" w:rsidRDefault="00937CDD">
            <w:pPr>
              <w:rPr>
                <w:sz w:val="22"/>
                <w:szCs w:val="22"/>
              </w:rPr>
            </w:pPr>
            <w:r w:rsidRPr="00915558">
              <w:rPr>
                <w:sz w:val="22"/>
                <w:szCs w:val="22"/>
              </w:rPr>
              <w:t>Congestion</w:t>
            </w:r>
          </w:p>
        </w:tc>
        <w:tc>
          <w:tcPr>
            <w:tcW w:w="5528" w:type="dxa"/>
          </w:tcPr>
          <w:p w14:paraId="6442CE90" w14:textId="77777777" w:rsidR="00937CDD" w:rsidRPr="00915558" w:rsidRDefault="00937CDD">
            <w:pPr>
              <w:rPr>
                <w:sz w:val="22"/>
                <w:szCs w:val="22"/>
              </w:rPr>
            </w:pPr>
            <w:r>
              <w:rPr>
                <w:sz w:val="22"/>
                <w:szCs w:val="22"/>
              </w:rPr>
              <w:t>T</w:t>
            </w:r>
            <w:r w:rsidRPr="009C4737">
              <w:rPr>
                <w:sz w:val="22"/>
                <w:szCs w:val="22"/>
              </w:rPr>
              <w:t xml:space="preserve">he time loss imposed on </w:t>
            </w:r>
            <w:r w:rsidRPr="00CC5EE0">
              <w:rPr>
                <w:i/>
                <w:iCs/>
                <w:sz w:val="22"/>
                <w:szCs w:val="22"/>
              </w:rPr>
              <w:t xml:space="preserve">other travellers </w:t>
            </w:r>
            <w:r w:rsidRPr="009C4737">
              <w:rPr>
                <w:sz w:val="22"/>
                <w:szCs w:val="22"/>
              </w:rPr>
              <w:t>because of</w:t>
            </w:r>
            <w:r>
              <w:rPr>
                <w:sz w:val="22"/>
                <w:szCs w:val="22"/>
              </w:rPr>
              <w:t xml:space="preserve"> </w:t>
            </w:r>
            <w:r w:rsidRPr="009C4737">
              <w:rPr>
                <w:sz w:val="22"/>
                <w:szCs w:val="22"/>
              </w:rPr>
              <w:t>simultaneous use of the road network, including travel time, operating</w:t>
            </w:r>
            <w:r>
              <w:rPr>
                <w:sz w:val="22"/>
                <w:szCs w:val="22"/>
              </w:rPr>
              <w:t xml:space="preserve"> </w:t>
            </w:r>
            <w:r w:rsidRPr="009C4737">
              <w:rPr>
                <w:sz w:val="22"/>
                <w:szCs w:val="22"/>
              </w:rPr>
              <w:t>cost</w:t>
            </w:r>
            <w:r>
              <w:rPr>
                <w:sz w:val="22"/>
                <w:szCs w:val="22"/>
              </w:rPr>
              <w:t xml:space="preserve"> and </w:t>
            </w:r>
            <w:r w:rsidRPr="009C4737">
              <w:rPr>
                <w:sz w:val="22"/>
                <w:szCs w:val="22"/>
              </w:rPr>
              <w:t>fuel cost</w:t>
            </w:r>
            <w:r>
              <w:rPr>
                <w:sz w:val="22"/>
                <w:szCs w:val="22"/>
              </w:rPr>
              <w:t>. External cost.</w:t>
            </w:r>
          </w:p>
        </w:tc>
      </w:tr>
      <w:tr w:rsidR="00937CDD" w:rsidRPr="00915558" w14:paraId="7F872C2E" w14:textId="77777777">
        <w:tc>
          <w:tcPr>
            <w:tcW w:w="2405" w:type="dxa"/>
          </w:tcPr>
          <w:p w14:paraId="5225AEB3" w14:textId="77777777" w:rsidR="00937CDD" w:rsidRPr="00915558" w:rsidRDefault="00937CDD">
            <w:pPr>
              <w:rPr>
                <w:sz w:val="22"/>
                <w:szCs w:val="22"/>
              </w:rPr>
            </w:pPr>
            <w:r w:rsidRPr="00915558">
              <w:rPr>
                <w:sz w:val="22"/>
                <w:szCs w:val="22"/>
              </w:rPr>
              <w:t>Infrastructure Maintenance</w:t>
            </w:r>
          </w:p>
        </w:tc>
        <w:tc>
          <w:tcPr>
            <w:tcW w:w="5528" w:type="dxa"/>
          </w:tcPr>
          <w:p w14:paraId="0AABE545" w14:textId="77777777" w:rsidR="00937CDD" w:rsidRPr="00915558" w:rsidRDefault="00937CDD">
            <w:pPr>
              <w:rPr>
                <w:sz w:val="22"/>
                <w:szCs w:val="22"/>
              </w:rPr>
            </w:pPr>
            <w:r>
              <w:rPr>
                <w:sz w:val="22"/>
                <w:szCs w:val="22"/>
              </w:rPr>
              <w:t>Resurfacing, overlay and road markings of infrastructure used by cars. Infrastructure maintenance cost for cycling and walking is too low to quantify. External cost.</w:t>
            </w:r>
          </w:p>
        </w:tc>
      </w:tr>
      <w:tr w:rsidR="00937CDD" w:rsidRPr="00915558" w14:paraId="6DCDA3B1" w14:textId="77777777">
        <w:tc>
          <w:tcPr>
            <w:tcW w:w="2405" w:type="dxa"/>
          </w:tcPr>
          <w:p w14:paraId="7FB6CFAD" w14:textId="77777777" w:rsidR="00937CDD" w:rsidRPr="00915558" w:rsidRDefault="00937CDD">
            <w:pPr>
              <w:rPr>
                <w:sz w:val="22"/>
                <w:szCs w:val="22"/>
              </w:rPr>
            </w:pPr>
            <w:r w:rsidRPr="00915558">
              <w:rPr>
                <w:sz w:val="22"/>
                <w:szCs w:val="22"/>
              </w:rPr>
              <w:t>Local Air Quality</w:t>
            </w:r>
          </w:p>
        </w:tc>
        <w:tc>
          <w:tcPr>
            <w:tcW w:w="5528" w:type="dxa"/>
          </w:tcPr>
          <w:p w14:paraId="234A2080" w14:textId="77777777" w:rsidR="00937CDD" w:rsidRPr="00915558" w:rsidRDefault="00937CDD">
            <w:pPr>
              <w:rPr>
                <w:sz w:val="22"/>
                <w:szCs w:val="22"/>
              </w:rPr>
            </w:pPr>
            <w:r w:rsidRPr="00D64F69">
              <w:rPr>
                <w:sz w:val="22"/>
                <w:szCs w:val="22"/>
              </w:rPr>
              <w:t>This relates to the health and environmental impacts of atmospheric emissions of pollutants from motorised vehicles (CO</w:t>
            </w:r>
            <w:r w:rsidRPr="008E0B9C">
              <w:rPr>
                <w:sz w:val="22"/>
                <w:szCs w:val="22"/>
                <w:vertAlign w:val="subscript"/>
              </w:rPr>
              <w:t>2</w:t>
            </w:r>
            <w:r w:rsidRPr="00D64F69">
              <w:rPr>
                <w:sz w:val="22"/>
                <w:szCs w:val="22"/>
              </w:rPr>
              <w:t>, CO, SO</w:t>
            </w:r>
            <w:r w:rsidRPr="008E0B9C">
              <w:rPr>
                <w:sz w:val="22"/>
                <w:szCs w:val="22"/>
                <w:vertAlign w:val="subscript"/>
              </w:rPr>
              <w:t>2</w:t>
            </w:r>
            <w:r w:rsidRPr="00D64F69">
              <w:rPr>
                <w:sz w:val="22"/>
                <w:szCs w:val="22"/>
              </w:rPr>
              <w:t>, NO</w:t>
            </w:r>
            <w:r w:rsidRPr="008E0B9C">
              <w:rPr>
                <w:sz w:val="22"/>
                <w:szCs w:val="22"/>
                <w:vertAlign w:val="subscript"/>
              </w:rPr>
              <w:t>x</w:t>
            </w:r>
            <w:r w:rsidRPr="00D64F69">
              <w:rPr>
                <w:sz w:val="22"/>
                <w:szCs w:val="22"/>
              </w:rPr>
              <w:t>, PM</w:t>
            </w:r>
            <w:r w:rsidRPr="008E0B9C">
              <w:rPr>
                <w:sz w:val="22"/>
                <w:szCs w:val="22"/>
                <w:vertAlign w:val="subscript"/>
              </w:rPr>
              <w:t>10</w:t>
            </w:r>
            <w:r w:rsidRPr="00D64F69">
              <w:rPr>
                <w:sz w:val="22"/>
                <w:szCs w:val="22"/>
              </w:rPr>
              <w:t>, Hydrocarbons, Benzene, 1,3-butadiene).</w:t>
            </w:r>
            <w:r>
              <w:rPr>
                <w:sz w:val="22"/>
                <w:szCs w:val="22"/>
              </w:rPr>
              <w:t xml:space="preserve"> External cost.</w:t>
            </w:r>
          </w:p>
        </w:tc>
      </w:tr>
      <w:tr w:rsidR="00937CDD" w:rsidRPr="00915558" w14:paraId="2DEF10BB" w14:textId="77777777">
        <w:tc>
          <w:tcPr>
            <w:tcW w:w="2405" w:type="dxa"/>
          </w:tcPr>
          <w:p w14:paraId="050DAB4D" w14:textId="77777777" w:rsidR="00937CDD" w:rsidRPr="00915558" w:rsidRDefault="00937CDD">
            <w:pPr>
              <w:rPr>
                <w:sz w:val="22"/>
                <w:szCs w:val="22"/>
              </w:rPr>
            </w:pPr>
            <w:r w:rsidRPr="00915558">
              <w:rPr>
                <w:sz w:val="22"/>
                <w:szCs w:val="22"/>
              </w:rPr>
              <w:t>Noise</w:t>
            </w:r>
          </w:p>
        </w:tc>
        <w:tc>
          <w:tcPr>
            <w:tcW w:w="5528" w:type="dxa"/>
          </w:tcPr>
          <w:p w14:paraId="78714EF5" w14:textId="77777777" w:rsidR="00937CDD" w:rsidRPr="00915558" w:rsidRDefault="00937CDD">
            <w:pPr>
              <w:rPr>
                <w:sz w:val="22"/>
                <w:szCs w:val="22"/>
              </w:rPr>
            </w:pPr>
            <w:r>
              <w:rPr>
                <w:sz w:val="22"/>
                <w:szCs w:val="22"/>
              </w:rPr>
              <w:t>B</w:t>
            </w:r>
            <w:r w:rsidRPr="008458C8">
              <w:rPr>
                <w:sz w:val="22"/>
                <w:szCs w:val="22"/>
              </w:rPr>
              <w:t>ased on the relationship between average noise levels and property prices</w:t>
            </w:r>
            <w:r>
              <w:rPr>
                <w:sz w:val="22"/>
                <w:szCs w:val="22"/>
              </w:rPr>
              <w:t>.  External cost.</w:t>
            </w:r>
          </w:p>
        </w:tc>
      </w:tr>
      <w:tr w:rsidR="00937CDD" w:rsidRPr="00915558" w14:paraId="546872F2" w14:textId="77777777">
        <w:tc>
          <w:tcPr>
            <w:tcW w:w="2405" w:type="dxa"/>
          </w:tcPr>
          <w:p w14:paraId="476195FF" w14:textId="77777777" w:rsidR="00937CDD" w:rsidRPr="00915558" w:rsidRDefault="00937CDD">
            <w:pPr>
              <w:rPr>
                <w:sz w:val="22"/>
                <w:szCs w:val="22"/>
              </w:rPr>
            </w:pPr>
            <w:r w:rsidRPr="00915558">
              <w:rPr>
                <w:sz w:val="22"/>
                <w:szCs w:val="22"/>
              </w:rPr>
              <w:t>Greenhouse Gases</w:t>
            </w:r>
          </w:p>
        </w:tc>
        <w:tc>
          <w:tcPr>
            <w:tcW w:w="5528" w:type="dxa"/>
          </w:tcPr>
          <w:p w14:paraId="05C43D18" w14:textId="77777777" w:rsidR="00937CDD" w:rsidRPr="00915558" w:rsidRDefault="00937CDD">
            <w:pPr>
              <w:rPr>
                <w:sz w:val="22"/>
                <w:szCs w:val="22"/>
              </w:rPr>
            </w:pPr>
            <w:r>
              <w:rPr>
                <w:sz w:val="22"/>
                <w:szCs w:val="22"/>
              </w:rPr>
              <w:t>The cost associated with the impact on climate change from vehicle CO</w:t>
            </w:r>
            <w:r w:rsidRPr="00C710C3">
              <w:rPr>
                <w:sz w:val="22"/>
                <w:szCs w:val="22"/>
                <w:vertAlign w:val="subscript"/>
              </w:rPr>
              <w:t>2</w:t>
            </w:r>
            <w:r>
              <w:rPr>
                <w:sz w:val="22"/>
                <w:szCs w:val="22"/>
              </w:rPr>
              <w:t xml:space="preserve"> output. External cost.</w:t>
            </w:r>
          </w:p>
        </w:tc>
      </w:tr>
      <w:tr w:rsidR="00937CDD" w:rsidRPr="00915558" w14:paraId="250B2F7F" w14:textId="77777777">
        <w:tc>
          <w:tcPr>
            <w:tcW w:w="2405" w:type="dxa"/>
          </w:tcPr>
          <w:p w14:paraId="460E94B7" w14:textId="77777777" w:rsidR="00937CDD" w:rsidRPr="00915558" w:rsidRDefault="00937CDD">
            <w:pPr>
              <w:rPr>
                <w:sz w:val="22"/>
                <w:szCs w:val="22"/>
              </w:rPr>
            </w:pPr>
            <w:r w:rsidRPr="00915558">
              <w:rPr>
                <w:sz w:val="22"/>
                <w:szCs w:val="22"/>
              </w:rPr>
              <w:t>Indirect Taxation</w:t>
            </w:r>
          </w:p>
        </w:tc>
        <w:tc>
          <w:tcPr>
            <w:tcW w:w="5528" w:type="dxa"/>
          </w:tcPr>
          <w:p w14:paraId="386C126A" w14:textId="77777777" w:rsidR="00937CDD" w:rsidRPr="00915558" w:rsidRDefault="00937CDD">
            <w:pPr>
              <w:rPr>
                <w:sz w:val="22"/>
                <w:szCs w:val="22"/>
              </w:rPr>
            </w:pPr>
            <w:r>
              <w:rPr>
                <w:sz w:val="22"/>
                <w:szCs w:val="22"/>
              </w:rPr>
              <w:t>Fuel duty. External cost.</w:t>
            </w:r>
          </w:p>
        </w:tc>
      </w:tr>
      <w:tr w:rsidR="00937CDD" w:rsidRPr="00915558" w14:paraId="17CA957F" w14:textId="77777777">
        <w:tc>
          <w:tcPr>
            <w:tcW w:w="2405" w:type="dxa"/>
          </w:tcPr>
          <w:p w14:paraId="3929DD73" w14:textId="77777777" w:rsidR="00937CDD" w:rsidRPr="00915558" w:rsidRDefault="00937CDD">
            <w:pPr>
              <w:rPr>
                <w:sz w:val="22"/>
                <w:szCs w:val="22"/>
              </w:rPr>
            </w:pPr>
            <w:r w:rsidRPr="00915558">
              <w:rPr>
                <w:sz w:val="22"/>
                <w:szCs w:val="22"/>
              </w:rPr>
              <w:t>Soil and Water Quality</w:t>
            </w:r>
          </w:p>
        </w:tc>
        <w:tc>
          <w:tcPr>
            <w:tcW w:w="5528" w:type="dxa"/>
          </w:tcPr>
          <w:p w14:paraId="1621551A" w14:textId="77777777" w:rsidR="00937CDD" w:rsidRPr="00915558" w:rsidRDefault="00937CDD">
            <w:pPr>
              <w:rPr>
                <w:sz w:val="22"/>
                <w:szCs w:val="22"/>
              </w:rPr>
            </w:pPr>
            <w:r>
              <w:rPr>
                <w:sz w:val="22"/>
                <w:szCs w:val="22"/>
              </w:rPr>
              <w:t>P</w:t>
            </w:r>
            <w:r w:rsidRPr="00085B15">
              <w:rPr>
                <w:sz w:val="22"/>
                <w:szCs w:val="22"/>
              </w:rPr>
              <w:t>ollutants released to soil, water</w:t>
            </w:r>
            <w:r>
              <w:rPr>
                <w:sz w:val="22"/>
                <w:szCs w:val="22"/>
              </w:rPr>
              <w:t xml:space="preserve"> </w:t>
            </w:r>
            <w:r w:rsidRPr="00085B15">
              <w:rPr>
                <w:sz w:val="22"/>
                <w:szCs w:val="22"/>
              </w:rPr>
              <w:t>bodies and groundwater, such as hydrocarbons, non-gaseous exhaust,</w:t>
            </w:r>
            <w:r>
              <w:rPr>
                <w:sz w:val="22"/>
                <w:szCs w:val="22"/>
              </w:rPr>
              <w:t xml:space="preserve"> </w:t>
            </w:r>
            <w:r w:rsidRPr="00085B15">
              <w:rPr>
                <w:sz w:val="22"/>
                <w:szCs w:val="22"/>
              </w:rPr>
              <w:t>heavy metal particulates from the wear of mechanical components such</w:t>
            </w:r>
            <w:r>
              <w:rPr>
                <w:sz w:val="22"/>
                <w:szCs w:val="22"/>
              </w:rPr>
              <w:t xml:space="preserve"> </w:t>
            </w:r>
            <w:r w:rsidRPr="00085B15">
              <w:rPr>
                <w:sz w:val="22"/>
                <w:szCs w:val="22"/>
              </w:rPr>
              <w:t>as brake pads, as well as salt and gravel used for anti-icing or winter</w:t>
            </w:r>
            <w:r>
              <w:rPr>
                <w:sz w:val="22"/>
                <w:szCs w:val="22"/>
              </w:rPr>
              <w:t xml:space="preserve"> m</w:t>
            </w:r>
            <w:r w:rsidRPr="00085B15">
              <w:rPr>
                <w:sz w:val="22"/>
                <w:szCs w:val="22"/>
              </w:rPr>
              <w:t>aintenance</w:t>
            </w:r>
            <w:r>
              <w:rPr>
                <w:sz w:val="22"/>
                <w:szCs w:val="22"/>
              </w:rPr>
              <w:t>. External cost.</w:t>
            </w:r>
          </w:p>
        </w:tc>
      </w:tr>
      <w:tr w:rsidR="00937CDD" w:rsidRPr="00915558" w14:paraId="479947D4" w14:textId="77777777">
        <w:tc>
          <w:tcPr>
            <w:tcW w:w="2405" w:type="dxa"/>
          </w:tcPr>
          <w:p w14:paraId="51D5F4D0" w14:textId="77777777" w:rsidR="00937CDD" w:rsidRPr="00915558" w:rsidRDefault="00937CDD">
            <w:pPr>
              <w:rPr>
                <w:sz w:val="22"/>
                <w:szCs w:val="22"/>
              </w:rPr>
            </w:pPr>
            <w:r w:rsidRPr="00915558">
              <w:rPr>
                <w:sz w:val="22"/>
                <w:szCs w:val="22"/>
              </w:rPr>
              <w:t>Well-to-tank Emissions</w:t>
            </w:r>
          </w:p>
        </w:tc>
        <w:tc>
          <w:tcPr>
            <w:tcW w:w="5528" w:type="dxa"/>
          </w:tcPr>
          <w:p w14:paraId="181DBAF0" w14:textId="77777777" w:rsidR="00937CDD" w:rsidRPr="00915558" w:rsidRDefault="00937CDD">
            <w:pPr>
              <w:rPr>
                <w:sz w:val="22"/>
                <w:szCs w:val="22"/>
              </w:rPr>
            </w:pPr>
            <w:r>
              <w:rPr>
                <w:sz w:val="22"/>
                <w:szCs w:val="22"/>
              </w:rPr>
              <w:t>Emissions (of greenhouse gases and other pollutants) due to fuel production and transport to the consumer. External cost.</w:t>
            </w:r>
          </w:p>
        </w:tc>
      </w:tr>
    </w:tbl>
    <w:p w14:paraId="5C252EC7" w14:textId="77777777" w:rsidR="00EB6013" w:rsidRDefault="00EB6013" w:rsidP="0A40F814"/>
    <w:p w14:paraId="344490A2" w14:textId="05850837" w:rsidR="00915558" w:rsidRDefault="7177AC9F" w:rsidP="0A40F814">
      <w:r>
        <w:t xml:space="preserve">The values assigned to each are based on the best available evidence. </w:t>
      </w:r>
    </w:p>
    <w:p w14:paraId="52188035" w14:textId="110E827D" w:rsidR="00915558" w:rsidRDefault="00386B5F" w:rsidP="00E82297">
      <w:r>
        <w:t>Within each mode, t</w:t>
      </w:r>
      <w:r w:rsidR="00915558">
        <w:t>he values</w:t>
      </w:r>
      <w:r w:rsidR="007D2493">
        <w:t xml:space="preserve"> for individual cost/benefit</w:t>
      </w:r>
      <w:r w:rsidR="0035346B">
        <w:t xml:space="preserve"> categories</w:t>
      </w:r>
      <w:r w:rsidR="00915558">
        <w:t xml:space="preserve"> are </w:t>
      </w:r>
      <w:r w:rsidR="707CD9D3">
        <w:t>totalled</w:t>
      </w:r>
      <w:r w:rsidR="7B781A42">
        <w:t>,</w:t>
      </w:r>
      <w:r w:rsidR="707CD9D3">
        <w:t xml:space="preserve"> </w:t>
      </w:r>
      <w:r w:rsidR="00FC4B6F">
        <w:t xml:space="preserve">to obtain a total </w:t>
      </w:r>
      <w:r>
        <w:t>cost/benefit per mile travelled</w:t>
      </w:r>
      <w:r w:rsidR="009F672D">
        <w:t xml:space="preserve"> by that mode.</w:t>
      </w:r>
      <w:r>
        <w:t xml:space="preserve"> </w:t>
      </w:r>
    </w:p>
    <w:p w14:paraId="4E2BBC12" w14:textId="382EC2A1" w:rsidR="00915558" w:rsidRDefault="00785555">
      <w:r>
        <w:t>T</w:t>
      </w:r>
      <w:r w:rsidR="4D4614AA">
        <w:t>he cost of time is only included for trips to</w:t>
      </w:r>
      <w:r w:rsidR="00A95B7D">
        <w:t>/from</w:t>
      </w:r>
      <w:r w:rsidR="4D4614AA">
        <w:t xml:space="preserve"> destinations</w:t>
      </w:r>
      <w:r w:rsidR="0063583F">
        <w:t xml:space="preserve"> (such as to</w:t>
      </w:r>
      <w:r w:rsidR="00A95B7D">
        <w:t>/from</w:t>
      </w:r>
      <w:r w:rsidR="0068023F">
        <w:t xml:space="preserve"> work, school, shops etc)</w:t>
      </w:r>
      <w:r w:rsidR="4D4614AA">
        <w:t xml:space="preserve">. </w:t>
      </w:r>
      <w:r w:rsidR="788C394D">
        <w:t xml:space="preserve">Trips for enjoyment or fitness </w:t>
      </w:r>
      <w:r w:rsidR="6F460609">
        <w:t xml:space="preserve">are made for their own sake, so time is not counted as an </w:t>
      </w:r>
      <w:r w:rsidR="2B957020">
        <w:t>incidental cost.</w:t>
      </w:r>
    </w:p>
    <w:p w14:paraId="36FD5337" w14:textId="4101F96C" w:rsidR="00B302C4" w:rsidRDefault="009F672D" w:rsidP="11ADA329">
      <w:r>
        <w:t xml:space="preserve">The value of new cycle trips are calculated </w:t>
      </w:r>
      <w:r w:rsidR="00DF77FC">
        <w:t>in the following ways:</w:t>
      </w:r>
    </w:p>
    <w:p w14:paraId="54DE2439" w14:textId="028131ED" w:rsidR="00B302C4" w:rsidRDefault="00DF77FC" w:rsidP="001D2352">
      <w:pPr>
        <w:pStyle w:val="ListParagraph"/>
        <w:numPr>
          <w:ilvl w:val="0"/>
          <w:numId w:val="18"/>
        </w:numPr>
      </w:pPr>
      <w:r>
        <w:lastRenderedPageBreak/>
        <w:t>C</w:t>
      </w:r>
      <w:r w:rsidRPr="00DF77FC">
        <w:t>ycle trips that are new trips, not replacing miles by another mode</w:t>
      </w:r>
      <w:r>
        <w:t>:</w:t>
      </w:r>
      <w:r w:rsidR="00A06668">
        <w:t xml:space="preserve"> M</w:t>
      </w:r>
      <w:r w:rsidR="007C7430">
        <w:t xml:space="preserve">ultiplying the </w:t>
      </w:r>
      <w:r w:rsidR="007C7430" w:rsidRPr="007C7430">
        <w:t>miles cycled that are new trips, not replacing miles by another mode</w:t>
      </w:r>
      <w:r w:rsidR="007C7430">
        <w:t>, by the total cost/benefit per mile cycled</w:t>
      </w:r>
    </w:p>
    <w:p w14:paraId="64D59BB9" w14:textId="43272AC0" w:rsidR="00483CB7" w:rsidRDefault="00A06668" w:rsidP="001D2352">
      <w:pPr>
        <w:pStyle w:val="ListParagraph"/>
        <w:numPr>
          <w:ilvl w:val="0"/>
          <w:numId w:val="19"/>
        </w:numPr>
      </w:pPr>
      <w:r>
        <w:t xml:space="preserve">Cycle trips that replace trips by another mode (e.g. </w:t>
      </w:r>
      <w:r w:rsidR="00AB5F35">
        <w:t>cycle trips replacing car trips): The difference between the value total cost/benefit per mile cycled</w:t>
      </w:r>
      <w:r w:rsidR="00483CB7">
        <w:t xml:space="preserve"> and the total cost/benefit per mile travelled by the other mode is calculated. This value is then multiplied by the </w:t>
      </w:r>
      <w:r w:rsidR="00CA5135">
        <w:t>miles cycled that are replacing miles by that other mode</w:t>
      </w:r>
      <w:r w:rsidR="00E502FD">
        <w:t>.</w:t>
      </w:r>
    </w:p>
    <w:p w14:paraId="3E07D977" w14:textId="77777777" w:rsidR="00E502FD" w:rsidRDefault="00E502FD" w:rsidP="00E502FD"/>
    <w:p w14:paraId="4D514D6F" w14:textId="1CB05271" w:rsidR="00E502FD" w:rsidRPr="005132B9" w:rsidRDefault="00E502FD" w:rsidP="00E502FD">
      <w:r>
        <w:t>Th</w:t>
      </w:r>
      <w:r w:rsidR="00955977">
        <w:t xml:space="preserve">e costs and benefits are also summarised using subsets of the </w:t>
      </w:r>
      <w:r w:rsidR="00B52EBF">
        <w:t>Societal Gain Model</w:t>
      </w:r>
      <w:r w:rsidR="00D42756">
        <w:t xml:space="preserve">, for example, performing the same calculations but only for internal </w:t>
      </w:r>
      <w:r w:rsidR="00527F39">
        <w:t>operating costs, to indicate the financial costs and benefits to the individual doing the travelling.</w:t>
      </w:r>
    </w:p>
    <w:p w14:paraId="3DBD18BB" w14:textId="14AE882D" w:rsidR="005D2153" w:rsidRPr="005132B9" w:rsidRDefault="00783E28" w:rsidP="00E502FD">
      <w:r>
        <w:t xml:space="preserve">The overall output from the </w:t>
      </w:r>
      <w:r w:rsidR="00B52EBF">
        <w:t xml:space="preserve">Societal Gain Model </w:t>
      </w:r>
      <w:r>
        <w:t xml:space="preserve">is compared with the cost to government in order to calculate a benefit cost ratio for the delivery of the </w:t>
      </w:r>
      <w:r w:rsidR="00454F55">
        <w:t xml:space="preserve">level of </w:t>
      </w:r>
      <w:r>
        <w:t>discount</w:t>
      </w:r>
      <w:r w:rsidR="00454F55">
        <w:t xml:space="preserve"> provided</w:t>
      </w:r>
      <w:r w:rsidR="00DB3B6F">
        <w:t xml:space="preserve">, </w:t>
      </w:r>
      <w:r w:rsidR="00D17B26">
        <w:t>based on the level of additional cycling in a year</w:t>
      </w:r>
      <w:r>
        <w:t>.</w:t>
      </w:r>
    </w:p>
    <w:p w14:paraId="04E44519" w14:textId="063D7DE7" w:rsidR="00915558" w:rsidRDefault="00FD04C9" w:rsidP="00FD04C9">
      <w:pPr>
        <w:pStyle w:val="Caption"/>
      </w:pPr>
      <w:bookmarkStart w:id="0" w:name="_Ref151378742"/>
      <w:r>
        <w:t xml:space="preserve">Table </w:t>
      </w:r>
      <w:r>
        <w:fldChar w:fldCharType="begin"/>
      </w:r>
      <w:r>
        <w:instrText xml:space="preserve"> SEQ Table \* ARABIC </w:instrText>
      </w:r>
      <w:r>
        <w:fldChar w:fldCharType="separate"/>
      </w:r>
      <w:r>
        <w:rPr>
          <w:noProof/>
        </w:rPr>
        <w:t>2</w:t>
      </w:r>
      <w:r>
        <w:fldChar w:fldCharType="end"/>
      </w:r>
      <w:r>
        <w:t xml:space="preserve">. </w:t>
      </w:r>
      <w:bookmarkEnd w:id="0"/>
      <w:r w:rsidR="00915558">
        <w:t xml:space="preserve">Value per </w:t>
      </w:r>
      <w:r w:rsidR="00216D5C">
        <w:t>mile</w:t>
      </w:r>
      <w:r w:rsidR="00915558">
        <w:t xml:space="preserve"> for each mode</w:t>
      </w:r>
    </w:p>
    <w:p w14:paraId="6F492D13" w14:textId="126C2D1B" w:rsidR="75613B61" w:rsidRDefault="75613B61" w:rsidP="008E693F">
      <w:pPr>
        <w:keepNext/>
        <w:keepLines/>
      </w:pPr>
      <w:r>
        <w:t>(</w:t>
      </w:r>
      <w:r w:rsidR="5B57247B">
        <w:t>P</w:t>
      </w:r>
      <w:r>
        <w:t>ositive values are benefits and negative values are costs)</w:t>
      </w:r>
    </w:p>
    <w:tbl>
      <w:tblPr>
        <w:tblStyle w:val="Plaintable"/>
        <w:tblW w:w="9640" w:type="dxa"/>
        <w:tblInd w:w="-856" w:type="dxa"/>
        <w:tblLook w:val="04A0" w:firstRow="1" w:lastRow="0" w:firstColumn="1" w:lastColumn="0" w:noHBand="0" w:noVBand="1"/>
      </w:tblPr>
      <w:tblGrid>
        <w:gridCol w:w="2019"/>
        <w:gridCol w:w="1524"/>
        <w:gridCol w:w="1524"/>
        <w:gridCol w:w="1524"/>
        <w:gridCol w:w="1524"/>
        <w:gridCol w:w="1525"/>
      </w:tblGrid>
      <w:tr w:rsidR="003C54C2" w:rsidRPr="00915558" w14:paraId="5BDD6A4F" w14:textId="6379D260" w:rsidTr="00B64AB8">
        <w:trPr>
          <w:cnfStyle w:val="100000000000" w:firstRow="1" w:lastRow="0" w:firstColumn="0" w:lastColumn="0" w:oddVBand="0" w:evenVBand="0" w:oddHBand="0" w:evenHBand="0" w:firstRowFirstColumn="0" w:firstRowLastColumn="0" w:lastRowFirstColumn="0" w:lastRowLastColumn="0"/>
        </w:trPr>
        <w:tc>
          <w:tcPr>
            <w:tcW w:w="2019" w:type="dxa"/>
          </w:tcPr>
          <w:p w14:paraId="2AAE7B48" w14:textId="6895017C" w:rsidR="00B859AC" w:rsidRPr="00915558" w:rsidRDefault="00B859AC" w:rsidP="00915558">
            <w:r>
              <w:t>Cost/benefit</w:t>
            </w:r>
          </w:p>
        </w:tc>
        <w:tc>
          <w:tcPr>
            <w:tcW w:w="1524" w:type="dxa"/>
          </w:tcPr>
          <w:p w14:paraId="0667EC35" w14:textId="6EC66E0B" w:rsidR="00B859AC" w:rsidRPr="00915558" w:rsidRDefault="00B859AC" w:rsidP="00915558">
            <w:r>
              <w:t>Cycling</w:t>
            </w:r>
          </w:p>
        </w:tc>
        <w:tc>
          <w:tcPr>
            <w:tcW w:w="1524" w:type="dxa"/>
          </w:tcPr>
          <w:p w14:paraId="5A82CF67" w14:textId="63F46075" w:rsidR="00B859AC" w:rsidRDefault="00B859AC" w:rsidP="00915558">
            <w:r>
              <w:t>Walking</w:t>
            </w:r>
            <w:r w:rsidR="00875E25">
              <w:t xml:space="preserve"> </w:t>
            </w:r>
          </w:p>
        </w:tc>
        <w:tc>
          <w:tcPr>
            <w:tcW w:w="1524" w:type="dxa"/>
          </w:tcPr>
          <w:p w14:paraId="5C6B88FD" w14:textId="4E44EDFE" w:rsidR="00B859AC" w:rsidRDefault="00B859AC" w:rsidP="00915558">
            <w:r>
              <w:t>Driving</w:t>
            </w:r>
          </w:p>
        </w:tc>
        <w:tc>
          <w:tcPr>
            <w:tcW w:w="1524" w:type="dxa"/>
          </w:tcPr>
          <w:p w14:paraId="1CCF0DD5" w14:textId="21A0736F" w:rsidR="00B859AC" w:rsidRDefault="00875E25" w:rsidP="00915558">
            <w:r>
              <w:t>Bus</w:t>
            </w:r>
            <w:r w:rsidR="00B64AB8">
              <w:t xml:space="preserve"> passenger</w:t>
            </w:r>
          </w:p>
        </w:tc>
        <w:tc>
          <w:tcPr>
            <w:tcW w:w="1525" w:type="dxa"/>
          </w:tcPr>
          <w:p w14:paraId="53889C71" w14:textId="12355B04" w:rsidR="00B859AC" w:rsidRDefault="00B64AB8" w:rsidP="00915558">
            <w:r>
              <w:t>Train passenger</w:t>
            </w:r>
          </w:p>
        </w:tc>
      </w:tr>
      <w:tr w:rsidR="00075DDB" w:rsidRPr="00915558" w14:paraId="10F00BD1" w14:textId="7A5EAFF9" w:rsidTr="00B64AB8">
        <w:tc>
          <w:tcPr>
            <w:tcW w:w="2019" w:type="dxa"/>
          </w:tcPr>
          <w:p w14:paraId="58444B11" w14:textId="77777777" w:rsidR="00075DDB" w:rsidRPr="00915558" w:rsidRDefault="00075DDB" w:rsidP="00075DDB">
            <w:pPr>
              <w:rPr>
                <w:sz w:val="22"/>
                <w:szCs w:val="22"/>
              </w:rPr>
            </w:pPr>
            <w:r w:rsidRPr="00915558">
              <w:rPr>
                <w:sz w:val="22"/>
                <w:szCs w:val="22"/>
              </w:rPr>
              <w:t>Time Cost (travel time, non-work)</w:t>
            </w:r>
          </w:p>
        </w:tc>
        <w:tc>
          <w:tcPr>
            <w:tcW w:w="1524" w:type="dxa"/>
          </w:tcPr>
          <w:p w14:paraId="2C3BE5EA" w14:textId="673F9BA2" w:rsidR="00075DDB" w:rsidRPr="00915558" w:rsidRDefault="00075DDB" w:rsidP="00075DDB">
            <w:pPr>
              <w:jc w:val="right"/>
              <w:rPr>
                <w:sz w:val="22"/>
                <w:szCs w:val="22"/>
              </w:rPr>
            </w:pPr>
            <w:r w:rsidRPr="00BD3C4D">
              <w:t>-£1.30</w:t>
            </w:r>
          </w:p>
        </w:tc>
        <w:tc>
          <w:tcPr>
            <w:tcW w:w="1524" w:type="dxa"/>
          </w:tcPr>
          <w:p w14:paraId="3C9537D2" w14:textId="694FF2FD" w:rsidR="00075DDB" w:rsidRPr="00915558" w:rsidRDefault="00075DDB" w:rsidP="00075DDB">
            <w:pPr>
              <w:jc w:val="right"/>
              <w:rPr>
                <w:sz w:val="22"/>
                <w:szCs w:val="22"/>
              </w:rPr>
            </w:pPr>
            <w:r w:rsidRPr="004618F5">
              <w:t>-£3.43</w:t>
            </w:r>
          </w:p>
        </w:tc>
        <w:tc>
          <w:tcPr>
            <w:tcW w:w="1524" w:type="dxa"/>
          </w:tcPr>
          <w:p w14:paraId="71EC3036" w14:textId="0F5E17BA" w:rsidR="00075DDB" w:rsidRPr="00915558" w:rsidRDefault="00075DDB" w:rsidP="00075DDB">
            <w:pPr>
              <w:jc w:val="right"/>
              <w:rPr>
                <w:sz w:val="22"/>
                <w:szCs w:val="22"/>
              </w:rPr>
            </w:pPr>
            <w:r w:rsidRPr="00E20E85">
              <w:t>-£0.48</w:t>
            </w:r>
          </w:p>
        </w:tc>
        <w:tc>
          <w:tcPr>
            <w:tcW w:w="1524" w:type="dxa"/>
          </w:tcPr>
          <w:p w14:paraId="0D7935D0" w14:textId="320599CE" w:rsidR="00075DDB" w:rsidRPr="57A40FC0" w:rsidRDefault="00075DDB" w:rsidP="00075DDB">
            <w:pPr>
              <w:jc w:val="right"/>
              <w:rPr>
                <w:sz w:val="22"/>
                <w:szCs w:val="22"/>
              </w:rPr>
            </w:pPr>
            <w:r w:rsidRPr="003A0931">
              <w:t>-£0.79</w:t>
            </w:r>
          </w:p>
        </w:tc>
        <w:tc>
          <w:tcPr>
            <w:tcW w:w="1525" w:type="dxa"/>
          </w:tcPr>
          <w:p w14:paraId="1D91E41D" w14:textId="120FC996" w:rsidR="00075DDB" w:rsidRPr="57A40FC0" w:rsidRDefault="00075DDB" w:rsidP="00075DDB">
            <w:pPr>
              <w:jc w:val="right"/>
              <w:rPr>
                <w:sz w:val="22"/>
                <w:szCs w:val="22"/>
              </w:rPr>
            </w:pPr>
            <w:r w:rsidRPr="00C94B76">
              <w:t>-£0.56</w:t>
            </w:r>
          </w:p>
        </w:tc>
      </w:tr>
      <w:tr w:rsidR="00075DDB" w:rsidRPr="00915558" w14:paraId="611B2AEB" w14:textId="763E0102" w:rsidTr="00B64AB8">
        <w:tc>
          <w:tcPr>
            <w:tcW w:w="2019" w:type="dxa"/>
          </w:tcPr>
          <w:p w14:paraId="6402012D" w14:textId="77777777" w:rsidR="00075DDB" w:rsidRPr="00915558" w:rsidRDefault="00075DDB" w:rsidP="00075DDB">
            <w:pPr>
              <w:rPr>
                <w:sz w:val="22"/>
                <w:szCs w:val="22"/>
              </w:rPr>
            </w:pPr>
            <w:r w:rsidRPr="00915558">
              <w:rPr>
                <w:sz w:val="22"/>
                <w:szCs w:val="22"/>
              </w:rPr>
              <w:t>Vehicle Operating Costs</w:t>
            </w:r>
          </w:p>
        </w:tc>
        <w:tc>
          <w:tcPr>
            <w:tcW w:w="1524" w:type="dxa"/>
          </w:tcPr>
          <w:p w14:paraId="44BB50E5" w14:textId="2997DEE0" w:rsidR="00075DDB" w:rsidRPr="00915558" w:rsidRDefault="00075DDB" w:rsidP="00075DDB">
            <w:pPr>
              <w:jc w:val="right"/>
              <w:rPr>
                <w:sz w:val="22"/>
                <w:szCs w:val="22"/>
              </w:rPr>
            </w:pPr>
            <w:r w:rsidRPr="00BD3C4D">
              <w:t>-£0.08</w:t>
            </w:r>
          </w:p>
        </w:tc>
        <w:tc>
          <w:tcPr>
            <w:tcW w:w="1524" w:type="dxa"/>
          </w:tcPr>
          <w:p w14:paraId="5118084C" w14:textId="4B8AD2EF" w:rsidR="00075DDB" w:rsidRPr="00915558" w:rsidRDefault="00075DDB" w:rsidP="00075DDB">
            <w:pPr>
              <w:jc w:val="right"/>
              <w:rPr>
                <w:sz w:val="22"/>
                <w:szCs w:val="22"/>
              </w:rPr>
            </w:pPr>
            <w:r w:rsidRPr="004618F5">
              <w:t>-£0.07</w:t>
            </w:r>
          </w:p>
        </w:tc>
        <w:tc>
          <w:tcPr>
            <w:tcW w:w="1524" w:type="dxa"/>
          </w:tcPr>
          <w:p w14:paraId="342A2029" w14:textId="1E9D1380" w:rsidR="00075DDB" w:rsidRPr="00915558" w:rsidRDefault="00075DDB" w:rsidP="00075DDB">
            <w:pPr>
              <w:jc w:val="right"/>
              <w:rPr>
                <w:sz w:val="22"/>
                <w:szCs w:val="22"/>
              </w:rPr>
            </w:pPr>
            <w:r w:rsidRPr="00E20E85">
              <w:t>-£0.70</w:t>
            </w:r>
          </w:p>
        </w:tc>
        <w:tc>
          <w:tcPr>
            <w:tcW w:w="1524" w:type="dxa"/>
          </w:tcPr>
          <w:p w14:paraId="5BC8F42A" w14:textId="1BEA4A4E" w:rsidR="00075DDB" w:rsidRPr="57A40FC0" w:rsidRDefault="00075DDB" w:rsidP="00075DDB">
            <w:pPr>
              <w:jc w:val="right"/>
              <w:rPr>
                <w:sz w:val="22"/>
                <w:szCs w:val="22"/>
              </w:rPr>
            </w:pPr>
            <w:r w:rsidRPr="003A0931">
              <w:t>-£0.40</w:t>
            </w:r>
          </w:p>
        </w:tc>
        <w:tc>
          <w:tcPr>
            <w:tcW w:w="1525" w:type="dxa"/>
          </w:tcPr>
          <w:p w14:paraId="43B99296" w14:textId="6414F027" w:rsidR="00075DDB" w:rsidRPr="57A40FC0" w:rsidRDefault="00075DDB" w:rsidP="00075DDB">
            <w:pPr>
              <w:jc w:val="right"/>
              <w:rPr>
                <w:sz w:val="22"/>
                <w:szCs w:val="22"/>
              </w:rPr>
            </w:pPr>
            <w:r w:rsidRPr="00C94B76">
              <w:t>-£0.7</w:t>
            </w:r>
            <w:r>
              <w:t>5</w:t>
            </w:r>
          </w:p>
        </w:tc>
      </w:tr>
      <w:tr w:rsidR="00467AE7" w:rsidRPr="00915558" w14:paraId="1C794A87" w14:textId="6ECA4055" w:rsidTr="00B64AB8">
        <w:tc>
          <w:tcPr>
            <w:tcW w:w="2019" w:type="dxa"/>
          </w:tcPr>
          <w:p w14:paraId="6A4A6F62" w14:textId="77777777" w:rsidR="00467AE7" w:rsidRPr="00915558" w:rsidRDefault="00467AE7" w:rsidP="00467AE7">
            <w:pPr>
              <w:rPr>
                <w:sz w:val="22"/>
                <w:szCs w:val="22"/>
              </w:rPr>
            </w:pPr>
            <w:r w:rsidRPr="00915558">
              <w:rPr>
                <w:sz w:val="22"/>
                <w:szCs w:val="22"/>
              </w:rPr>
              <w:t>Prolonged Life</w:t>
            </w:r>
          </w:p>
        </w:tc>
        <w:tc>
          <w:tcPr>
            <w:tcW w:w="1524" w:type="dxa"/>
          </w:tcPr>
          <w:p w14:paraId="703AD7E4" w14:textId="44458733" w:rsidR="00467AE7" w:rsidRPr="00915558" w:rsidRDefault="00467AE7" w:rsidP="00467AE7">
            <w:pPr>
              <w:jc w:val="right"/>
              <w:rPr>
                <w:sz w:val="22"/>
                <w:szCs w:val="22"/>
              </w:rPr>
            </w:pPr>
            <w:r w:rsidRPr="00BD3C4D">
              <w:t>£0.56</w:t>
            </w:r>
          </w:p>
        </w:tc>
        <w:tc>
          <w:tcPr>
            <w:tcW w:w="1524" w:type="dxa"/>
          </w:tcPr>
          <w:p w14:paraId="718652FE" w14:textId="32F30E95" w:rsidR="00467AE7" w:rsidRPr="00915558" w:rsidRDefault="00467AE7" w:rsidP="00467AE7">
            <w:pPr>
              <w:jc w:val="right"/>
              <w:rPr>
                <w:sz w:val="22"/>
                <w:szCs w:val="22"/>
              </w:rPr>
            </w:pPr>
            <w:r w:rsidRPr="004618F5">
              <w:t>£1.12</w:t>
            </w:r>
          </w:p>
        </w:tc>
        <w:tc>
          <w:tcPr>
            <w:tcW w:w="1524" w:type="dxa"/>
          </w:tcPr>
          <w:p w14:paraId="2E0F6B28" w14:textId="3A73364E" w:rsidR="00467AE7" w:rsidRPr="00915558" w:rsidRDefault="00467AE7" w:rsidP="00467AE7">
            <w:pPr>
              <w:jc w:val="right"/>
              <w:rPr>
                <w:sz w:val="22"/>
                <w:szCs w:val="22"/>
              </w:rPr>
            </w:pPr>
            <w:r>
              <w:t>-</w:t>
            </w:r>
          </w:p>
        </w:tc>
        <w:tc>
          <w:tcPr>
            <w:tcW w:w="1524" w:type="dxa"/>
          </w:tcPr>
          <w:p w14:paraId="577228FA" w14:textId="4E2BE8F3" w:rsidR="00467AE7" w:rsidRPr="57A40FC0" w:rsidRDefault="00467AE7" w:rsidP="00467AE7">
            <w:pPr>
              <w:jc w:val="right"/>
              <w:rPr>
                <w:sz w:val="22"/>
                <w:szCs w:val="22"/>
              </w:rPr>
            </w:pPr>
            <w:r>
              <w:t>-</w:t>
            </w:r>
          </w:p>
        </w:tc>
        <w:tc>
          <w:tcPr>
            <w:tcW w:w="1525" w:type="dxa"/>
          </w:tcPr>
          <w:p w14:paraId="6012EE52" w14:textId="0473D168" w:rsidR="00467AE7" w:rsidRPr="57A40FC0" w:rsidRDefault="00467AE7" w:rsidP="00467AE7">
            <w:pPr>
              <w:jc w:val="right"/>
              <w:rPr>
                <w:sz w:val="22"/>
                <w:szCs w:val="22"/>
              </w:rPr>
            </w:pPr>
            <w:r>
              <w:t>-</w:t>
            </w:r>
          </w:p>
        </w:tc>
      </w:tr>
      <w:tr w:rsidR="00467AE7" w:rsidRPr="00915558" w14:paraId="45A7E3E5" w14:textId="7366B0D8" w:rsidTr="00B64AB8">
        <w:tc>
          <w:tcPr>
            <w:tcW w:w="2019" w:type="dxa"/>
          </w:tcPr>
          <w:p w14:paraId="742CEAE4" w14:textId="77777777" w:rsidR="00467AE7" w:rsidRPr="00915558" w:rsidRDefault="00467AE7" w:rsidP="00467AE7">
            <w:pPr>
              <w:rPr>
                <w:sz w:val="22"/>
                <w:szCs w:val="22"/>
              </w:rPr>
            </w:pPr>
            <w:r w:rsidRPr="00915558">
              <w:rPr>
                <w:sz w:val="22"/>
                <w:szCs w:val="22"/>
              </w:rPr>
              <w:t xml:space="preserve">Health </w:t>
            </w:r>
          </w:p>
        </w:tc>
        <w:tc>
          <w:tcPr>
            <w:tcW w:w="1524" w:type="dxa"/>
          </w:tcPr>
          <w:p w14:paraId="40883D63" w14:textId="266876F7" w:rsidR="00467AE7" w:rsidRPr="00915558" w:rsidRDefault="00467AE7" w:rsidP="00467AE7">
            <w:pPr>
              <w:jc w:val="right"/>
              <w:rPr>
                <w:sz w:val="22"/>
                <w:szCs w:val="22"/>
              </w:rPr>
            </w:pPr>
            <w:r w:rsidRPr="00BD3C4D">
              <w:t>£0.59</w:t>
            </w:r>
          </w:p>
        </w:tc>
        <w:tc>
          <w:tcPr>
            <w:tcW w:w="1524" w:type="dxa"/>
          </w:tcPr>
          <w:p w14:paraId="0B71130E" w14:textId="121E666D" w:rsidR="00467AE7" w:rsidRPr="00915558" w:rsidRDefault="00467AE7" w:rsidP="00467AE7">
            <w:pPr>
              <w:jc w:val="right"/>
              <w:rPr>
                <w:sz w:val="22"/>
                <w:szCs w:val="22"/>
              </w:rPr>
            </w:pPr>
            <w:r w:rsidRPr="004618F5">
              <w:t>£1.17</w:t>
            </w:r>
          </w:p>
        </w:tc>
        <w:tc>
          <w:tcPr>
            <w:tcW w:w="1524" w:type="dxa"/>
          </w:tcPr>
          <w:p w14:paraId="1B7447D6" w14:textId="52A81C2F" w:rsidR="00467AE7" w:rsidRPr="00915558" w:rsidRDefault="00467AE7" w:rsidP="00467AE7">
            <w:pPr>
              <w:jc w:val="right"/>
              <w:rPr>
                <w:sz w:val="22"/>
                <w:szCs w:val="22"/>
              </w:rPr>
            </w:pPr>
            <w:r w:rsidRPr="57A40FC0">
              <w:rPr>
                <w:sz w:val="22"/>
                <w:szCs w:val="22"/>
              </w:rPr>
              <w:t>-</w:t>
            </w:r>
          </w:p>
        </w:tc>
        <w:tc>
          <w:tcPr>
            <w:tcW w:w="1524" w:type="dxa"/>
          </w:tcPr>
          <w:p w14:paraId="69435E88" w14:textId="2F2388D2" w:rsidR="00467AE7" w:rsidRPr="57A40FC0" w:rsidRDefault="00467AE7" w:rsidP="00467AE7">
            <w:pPr>
              <w:jc w:val="right"/>
              <w:rPr>
                <w:sz w:val="22"/>
                <w:szCs w:val="22"/>
              </w:rPr>
            </w:pPr>
            <w:r w:rsidRPr="57A40FC0">
              <w:rPr>
                <w:sz w:val="22"/>
                <w:szCs w:val="22"/>
              </w:rPr>
              <w:t>-</w:t>
            </w:r>
          </w:p>
        </w:tc>
        <w:tc>
          <w:tcPr>
            <w:tcW w:w="1525" w:type="dxa"/>
          </w:tcPr>
          <w:p w14:paraId="459B448E" w14:textId="18BC9924" w:rsidR="00467AE7" w:rsidRPr="57A40FC0" w:rsidRDefault="00467AE7" w:rsidP="00467AE7">
            <w:pPr>
              <w:jc w:val="right"/>
              <w:rPr>
                <w:sz w:val="22"/>
                <w:szCs w:val="22"/>
              </w:rPr>
            </w:pPr>
            <w:r w:rsidRPr="57A40FC0">
              <w:rPr>
                <w:sz w:val="22"/>
                <w:szCs w:val="22"/>
              </w:rPr>
              <w:t>-</w:t>
            </w:r>
          </w:p>
        </w:tc>
      </w:tr>
      <w:tr w:rsidR="00195A73" w:rsidRPr="00915558" w14:paraId="2219A1DF" w14:textId="3231D9BD" w:rsidTr="00B64AB8">
        <w:tc>
          <w:tcPr>
            <w:tcW w:w="2019" w:type="dxa"/>
          </w:tcPr>
          <w:p w14:paraId="54DE955E" w14:textId="77777777" w:rsidR="00195A73" w:rsidRPr="00915558" w:rsidRDefault="00195A73" w:rsidP="00195A73">
            <w:pPr>
              <w:rPr>
                <w:sz w:val="22"/>
                <w:szCs w:val="22"/>
              </w:rPr>
            </w:pPr>
            <w:r w:rsidRPr="00915558">
              <w:rPr>
                <w:sz w:val="22"/>
                <w:szCs w:val="22"/>
              </w:rPr>
              <w:t>Congestion</w:t>
            </w:r>
          </w:p>
        </w:tc>
        <w:tc>
          <w:tcPr>
            <w:tcW w:w="1524" w:type="dxa"/>
          </w:tcPr>
          <w:p w14:paraId="2C53B37E" w14:textId="482288CD" w:rsidR="00195A73" w:rsidRPr="00915558" w:rsidRDefault="00195A73" w:rsidP="00195A73">
            <w:pPr>
              <w:jc w:val="right"/>
              <w:rPr>
                <w:sz w:val="22"/>
                <w:szCs w:val="22"/>
              </w:rPr>
            </w:pPr>
            <w:r>
              <w:t>-</w:t>
            </w:r>
          </w:p>
        </w:tc>
        <w:tc>
          <w:tcPr>
            <w:tcW w:w="1524" w:type="dxa"/>
          </w:tcPr>
          <w:p w14:paraId="456E4EED" w14:textId="4B5127F8" w:rsidR="00195A73" w:rsidRPr="00915558" w:rsidRDefault="00195A73" w:rsidP="00195A73">
            <w:pPr>
              <w:jc w:val="right"/>
              <w:rPr>
                <w:sz w:val="22"/>
                <w:szCs w:val="22"/>
              </w:rPr>
            </w:pPr>
            <w:r>
              <w:t>-</w:t>
            </w:r>
          </w:p>
        </w:tc>
        <w:tc>
          <w:tcPr>
            <w:tcW w:w="1524" w:type="dxa"/>
          </w:tcPr>
          <w:p w14:paraId="01DFC867" w14:textId="06FA3025" w:rsidR="00195A73" w:rsidRPr="00915558" w:rsidRDefault="00195A73" w:rsidP="00195A73">
            <w:pPr>
              <w:jc w:val="right"/>
              <w:rPr>
                <w:sz w:val="22"/>
                <w:szCs w:val="22"/>
              </w:rPr>
            </w:pPr>
            <w:r w:rsidRPr="00F2550A">
              <w:t>-£0.30</w:t>
            </w:r>
          </w:p>
        </w:tc>
        <w:tc>
          <w:tcPr>
            <w:tcW w:w="1524" w:type="dxa"/>
          </w:tcPr>
          <w:p w14:paraId="778D7A58" w14:textId="2D35AF23" w:rsidR="00195A73" w:rsidRPr="57A40FC0" w:rsidRDefault="00195A73" w:rsidP="00195A73">
            <w:pPr>
              <w:jc w:val="right"/>
              <w:rPr>
                <w:sz w:val="22"/>
                <w:szCs w:val="22"/>
              </w:rPr>
            </w:pPr>
            <w:r w:rsidRPr="003A0931">
              <w:t>-£0.0</w:t>
            </w:r>
            <w:r w:rsidR="002B024A">
              <w:t>7</w:t>
            </w:r>
          </w:p>
        </w:tc>
        <w:tc>
          <w:tcPr>
            <w:tcW w:w="1525" w:type="dxa"/>
          </w:tcPr>
          <w:p w14:paraId="3D7AEA0C" w14:textId="521A25BE" w:rsidR="00195A73" w:rsidRPr="57A40FC0" w:rsidRDefault="00195A73" w:rsidP="00195A73">
            <w:pPr>
              <w:jc w:val="right"/>
              <w:rPr>
                <w:sz w:val="22"/>
                <w:szCs w:val="22"/>
              </w:rPr>
            </w:pPr>
            <w:r w:rsidRPr="00C94B76">
              <w:t>£0.00</w:t>
            </w:r>
          </w:p>
        </w:tc>
      </w:tr>
      <w:tr w:rsidR="00195A73" w:rsidRPr="00915558" w14:paraId="6746363C" w14:textId="56F233A2" w:rsidTr="00B64AB8">
        <w:tc>
          <w:tcPr>
            <w:tcW w:w="2019" w:type="dxa"/>
          </w:tcPr>
          <w:p w14:paraId="4C63AB39" w14:textId="77777777" w:rsidR="00195A73" w:rsidRPr="00915558" w:rsidRDefault="00195A73" w:rsidP="00195A73">
            <w:pPr>
              <w:rPr>
                <w:sz w:val="22"/>
                <w:szCs w:val="22"/>
              </w:rPr>
            </w:pPr>
            <w:r w:rsidRPr="00915558">
              <w:rPr>
                <w:sz w:val="22"/>
                <w:szCs w:val="22"/>
              </w:rPr>
              <w:t>Infrastructure Maintenance</w:t>
            </w:r>
          </w:p>
        </w:tc>
        <w:tc>
          <w:tcPr>
            <w:tcW w:w="1524" w:type="dxa"/>
          </w:tcPr>
          <w:p w14:paraId="5E39B79F" w14:textId="7F5169EC" w:rsidR="00195A73" w:rsidRPr="00915558" w:rsidRDefault="00195A73" w:rsidP="00195A73">
            <w:pPr>
              <w:jc w:val="right"/>
              <w:rPr>
                <w:sz w:val="22"/>
                <w:szCs w:val="22"/>
              </w:rPr>
            </w:pPr>
            <w:r w:rsidRPr="57A40FC0">
              <w:rPr>
                <w:sz w:val="22"/>
                <w:szCs w:val="22"/>
              </w:rPr>
              <w:t>-</w:t>
            </w:r>
          </w:p>
        </w:tc>
        <w:tc>
          <w:tcPr>
            <w:tcW w:w="1524" w:type="dxa"/>
          </w:tcPr>
          <w:p w14:paraId="4C748A5F" w14:textId="0E955565" w:rsidR="00195A73" w:rsidRPr="00915558" w:rsidRDefault="00195A73" w:rsidP="00195A73">
            <w:pPr>
              <w:jc w:val="right"/>
              <w:rPr>
                <w:sz w:val="22"/>
                <w:szCs w:val="22"/>
              </w:rPr>
            </w:pPr>
            <w:r w:rsidRPr="57A40FC0">
              <w:rPr>
                <w:sz w:val="22"/>
                <w:szCs w:val="22"/>
              </w:rPr>
              <w:t>-</w:t>
            </w:r>
          </w:p>
        </w:tc>
        <w:tc>
          <w:tcPr>
            <w:tcW w:w="1524" w:type="dxa"/>
          </w:tcPr>
          <w:p w14:paraId="0B0B8B22" w14:textId="1DFE32E2" w:rsidR="00195A73" w:rsidRPr="00915558" w:rsidRDefault="00075DDB" w:rsidP="00195A73">
            <w:pPr>
              <w:jc w:val="right"/>
              <w:rPr>
                <w:sz w:val="22"/>
                <w:szCs w:val="22"/>
              </w:rPr>
            </w:pPr>
            <w:r>
              <w:t>-</w:t>
            </w:r>
            <w:r w:rsidR="00195A73" w:rsidRPr="00F2550A">
              <w:t>£0.00</w:t>
            </w:r>
            <w:r w:rsidR="00195A73">
              <w:t>2</w:t>
            </w:r>
          </w:p>
        </w:tc>
        <w:tc>
          <w:tcPr>
            <w:tcW w:w="1524" w:type="dxa"/>
          </w:tcPr>
          <w:p w14:paraId="348D83A4" w14:textId="74292024" w:rsidR="00195A73" w:rsidRPr="57A40FC0" w:rsidRDefault="00195A73" w:rsidP="00195A73">
            <w:pPr>
              <w:jc w:val="right"/>
              <w:rPr>
                <w:sz w:val="22"/>
                <w:szCs w:val="22"/>
              </w:rPr>
            </w:pPr>
            <w:r w:rsidRPr="57A40FC0">
              <w:rPr>
                <w:sz w:val="22"/>
                <w:szCs w:val="22"/>
              </w:rPr>
              <w:t>-</w:t>
            </w:r>
          </w:p>
        </w:tc>
        <w:tc>
          <w:tcPr>
            <w:tcW w:w="1525" w:type="dxa"/>
          </w:tcPr>
          <w:p w14:paraId="24B3B5B4" w14:textId="6E4E2629" w:rsidR="00195A73" w:rsidRPr="57A40FC0" w:rsidRDefault="00195A73" w:rsidP="00195A73">
            <w:pPr>
              <w:jc w:val="right"/>
              <w:rPr>
                <w:sz w:val="22"/>
                <w:szCs w:val="22"/>
              </w:rPr>
            </w:pPr>
            <w:r w:rsidRPr="57A40FC0">
              <w:rPr>
                <w:sz w:val="22"/>
                <w:szCs w:val="22"/>
              </w:rPr>
              <w:t>-</w:t>
            </w:r>
          </w:p>
        </w:tc>
      </w:tr>
      <w:tr w:rsidR="00195A73" w:rsidRPr="00915558" w14:paraId="570EE76D" w14:textId="54535FF9" w:rsidTr="00B64AB8">
        <w:tc>
          <w:tcPr>
            <w:tcW w:w="2019" w:type="dxa"/>
          </w:tcPr>
          <w:p w14:paraId="6FF98F2D" w14:textId="77777777" w:rsidR="00195A73" w:rsidRPr="00915558" w:rsidRDefault="00195A73" w:rsidP="00195A73">
            <w:pPr>
              <w:rPr>
                <w:sz w:val="22"/>
                <w:szCs w:val="22"/>
              </w:rPr>
            </w:pPr>
            <w:r w:rsidRPr="00915558">
              <w:rPr>
                <w:sz w:val="22"/>
                <w:szCs w:val="22"/>
              </w:rPr>
              <w:t>Local Air Quality</w:t>
            </w:r>
          </w:p>
        </w:tc>
        <w:tc>
          <w:tcPr>
            <w:tcW w:w="1524" w:type="dxa"/>
          </w:tcPr>
          <w:p w14:paraId="4EA97C35" w14:textId="132ED548" w:rsidR="00195A73" w:rsidRPr="00915558" w:rsidRDefault="00195A73" w:rsidP="00195A73">
            <w:pPr>
              <w:jc w:val="right"/>
              <w:rPr>
                <w:sz w:val="22"/>
                <w:szCs w:val="22"/>
              </w:rPr>
            </w:pPr>
            <w:r w:rsidRPr="57A40FC0">
              <w:rPr>
                <w:sz w:val="22"/>
                <w:szCs w:val="22"/>
              </w:rPr>
              <w:t>-</w:t>
            </w:r>
          </w:p>
        </w:tc>
        <w:tc>
          <w:tcPr>
            <w:tcW w:w="1524" w:type="dxa"/>
          </w:tcPr>
          <w:p w14:paraId="4A81365F" w14:textId="36506323" w:rsidR="00195A73" w:rsidRPr="00915558" w:rsidRDefault="00195A73" w:rsidP="00195A73">
            <w:pPr>
              <w:jc w:val="right"/>
              <w:rPr>
                <w:sz w:val="22"/>
                <w:szCs w:val="22"/>
              </w:rPr>
            </w:pPr>
            <w:r w:rsidRPr="57A40FC0">
              <w:rPr>
                <w:sz w:val="22"/>
                <w:szCs w:val="22"/>
              </w:rPr>
              <w:t>-</w:t>
            </w:r>
          </w:p>
        </w:tc>
        <w:tc>
          <w:tcPr>
            <w:tcW w:w="1524" w:type="dxa"/>
          </w:tcPr>
          <w:p w14:paraId="21830313" w14:textId="2A1C1B79" w:rsidR="00195A73" w:rsidRPr="00915558" w:rsidRDefault="00195A73" w:rsidP="00195A73">
            <w:pPr>
              <w:jc w:val="right"/>
              <w:rPr>
                <w:sz w:val="22"/>
                <w:szCs w:val="22"/>
              </w:rPr>
            </w:pPr>
            <w:r w:rsidRPr="00F2550A">
              <w:t>-£0.01</w:t>
            </w:r>
          </w:p>
        </w:tc>
        <w:tc>
          <w:tcPr>
            <w:tcW w:w="1524" w:type="dxa"/>
          </w:tcPr>
          <w:p w14:paraId="51D8572B" w14:textId="0E38B6E4" w:rsidR="00195A73" w:rsidRPr="57A40FC0" w:rsidRDefault="00195A73" w:rsidP="00195A73">
            <w:pPr>
              <w:jc w:val="right"/>
              <w:rPr>
                <w:sz w:val="22"/>
                <w:szCs w:val="22"/>
              </w:rPr>
            </w:pPr>
            <w:r w:rsidRPr="003A0931">
              <w:t>-£0.0</w:t>
            </w:r>
            <w:r w:rsidR="002B024A">
              <w:t>1</w:t>
            </w:r>
          </w:p>
        </w:tc>
        <w:tc>
          <w:tcPr>
            <w:tcW w:w="1525" w:type="dxa"/>
          </w:tcPr>
          <w:p w14:paraId="1D95BF35" w14:textId="1A75A9BB" w:rsidR="00195A73" w:rsidRPr="57A40FC0" w:rsidRDefault="00195A73" w:rsidP="00195A73">
            <w:pPr>
              <w:jc w:val="right"/>
              <w:rPr>
                <w:sz w:val="22"/>
                <w:szCs w:val="22"/>
              </w:rPr>
            </w:pPr>
            <w:r>
              <w:t>-</w:t>
            </w:r>
            <w:r w:rsidRPr="00C94B76">
              <w:t>£0.00</w:t>
            </w:r>
            <w:r>
              <w:t>2</w:t>
            </w:r>
          </w:p>
        </w:tc>
      </w:tr>
      <w:tr w:rsidR="00195A73" w:rsidRPr="00915558" w14:paraId="3BBA281B" w14:textId="535FDE8B" w:rsidTr="00B64AB8">
        <w:tc>
          <w:tcPr>
            <w:tcW w:w="2019" w:type="dxa"/>
          </w:tcPr>
          <w:p w14:paraId="71D12932" w14:textId="77777777" w:rsidR="00195A73" w:rsidRPr="00915558" w:rsidRDefault="00195A73" w:rsidP="00195A73">
            <w:pPr>
              <w:rPr>
                <w:sz w:val="22"/>
                <w:szCs w:val="22"/>
              </w:rPr>
            </w:pPr>
            <w:r w:rsidRPr="00915558">
              <w:rPr>
                <w:sz w:val="22"/>
                <w:szCs w:val="22"/>
              </w:rPr>
              <w:lastRenderedPageBreak/>
              <w:t>Noise</w:t>
            </w:r>
          </w:p>
        </w:tc>
        <w:tc>
          <w:tcPr>
            <w:tcW w:w="1524" w:type="dxa"/>
          </w:tcPr>
          <w:p w14:paraId="7FF6D79A" w14:textId="01580F74" w:rsidR="00195A73" w:rsidRPr="00915558" w:rsidRDefault="00195A73" w:rsidP="00195A73">
            <w:pPr>
              <w:jc w:val="right"/>
              <w:rPr>
                <w:sz w:val="22"/>
                <w:szCs w:val="22"/>
              </w:rPr>
            </w:pPr>
            <w:r w:rsidRPr="57A40FC0">
              <w:rPr>
                <w:sz w:val="22"/>
                <w:szCs w:val="22"/>
              </w:rPr>
              <w:t>-</w:t>
            </w:r>
          </w:p>
        </w:tc>
        <w:tc>
          <w:tcPr>
            <w:tcW w:w="1524" w:type="dxa"/>
          </w:tcPr>
          <w:p w14:paraId="2A4412D0" w14:textId="78323205" w:rsidR="00195A73" w:rsidRPr="00915558" w:rsidRDefault="00195A73" w:rsidP="00195A73">
            <w:pPr>
              <w:jc w:val="right"/>
              <w:rPr>
                <w:sz w:val="22"/>
                <w:szCs w:val="22"/>
              </w:rPr>
            </w:pPr>
            <w:r w:rsidRPr="57A40FC0">
              <w:rPr>
                <w:sz w:val="22"/>
                <w:szCs w:val="22"/>
              </w:rPr>
              <w:t>-</w:t>
            </w:r>
          </w:p>
        </w:tc>
        <w:tc>
          <w:tcPr>
            <w:tcW w:w="1524" w:type="dxa"/>
          </w:tcPr>
          <w:p w14:paraId="055E2940" w14:textId="6658DA76" w:rsidR="00195A73" w:rsidRPr="00915558" w:rsidRDefault="00195A73" w:rsidP="00195A73">
            <w:pPr>
              <w:jc w:val="right"/>
              <w:rPr>
                <w:sz w:val="22"/>
                <w:szCs w:val="22"/>
              </w:rPr>
            </w:pPr>
            <w:r w:rsidRPr="00F2550A">
              <w:t>-£0.004</w:t>
            </w:r>
          </w:p>
        </w:tc>
        <w:tc>
          <w:tcPr>
            <w:tcW w:w="1524" w:type="dxa"/>
          </w:tcPr>
          <w:p w14:paraId="61999BF0" w14:textId="591226EE" w:rsidR="00195A73" w:rsidRPr="57A40FC0" w:rsidRDefault="00195A73" w:rsidP="00195A73">
            <w:pPr>
              <w:jc w:val="right"/>
              <w:rPr>
                <w:sz w:val="22"/>
                <w:szCs w:val="22"/>
              </w:rPr>
            </w:pPr>
            <w:r w:rsidRPr="003A0931">
              <w:t>-£0.01</w:t>
            </w:r>
          </w:p>
        </w:tc>
        <w:tc>
          <w:tcPr>
            <w:tcW w:w="1525" w:type="dxa"/>
          </w:tcPr>
          <w:p w14:paraId="1FE96EF0" w14:textId="5D7C2BC1" w:rsidR="00195A73" w:rsidRPr="57A40FC0" w:rsidRDefault="00195A73" w:rsidP="00195A73">
            <w:pPr>
              <w:jc w:val="right"/>
              <w:rPr>
                <w:sz w:val="22"/>
                <w:szCs w:val="22"/>
              </w:rPr>
            </w:pPr>
            <w:r w:rsidRPr="00C94B76">
              <w:t>-£0.02</w:t>
            </w:r>
          </w:p>
        </w:tc>
      </w:tr>
      <w:tr w:rsidR="00195A73" w:rsidRPr="00915558" w14:paraId="0641C95A" w14:textId="5D544943" w:rsidTr="00B64AB8">
        <w:tc>
          <w:tcPr>
            <w:tcW w:w="2019" w:type="dxa"/>
          </w:tcPr>
          <w:p w14:paraId="6FA162B5" w14:textId="77777777" w:rsidR="00195A73" w:rsidRPr="00915558" w:rsidRDefault="00195A73" w:rsidP="00195A73">
            <w:pPr>
              <w:rPr>
                <w:sz w:val="22"/>
                <w:szCs w:val="22"/>
              </w:rPr>
            </w:pPr>
            <w:r w:rsidRPr="00915558">
              <w:rPr>
                <w:sz w:val="22"/>
                <w:szCs w:val="22"/>
              </w:rPr>
              <w:t>Greenhouse Gases</w:t>
            </w:r>
          </w:p>
        </w:tc>
        <w:tc>
          <w:tcPr>
            <w:tcW w:w="1524" w:type="dxa"/>
          </w:tcPr>
          <w:p w14:paraId="684A523C" w14:textId="2DC02E93" w:rsidR="00195A73" w:rsidRPr="00915558" w:rsidRDefault="00195A73" w:rsidP="00195A73">
            <w:pPr>
              <w:jc w:val="right"/>
              <w:rPr>
                <w:sz w:val="22"/>
                <w:szCs w:val="22"/>
              </w:rPr>
            </w:pPr>
            <w:r w:rsidRPr="57A40FC0">
              <w:rPr>
                <w:sz w:val="22"/>
                <w:szCs w:val="22"/>
              </w:rPr>
              <w:t>-</w:t>
            </w:r>
          </w:p>
        </w:tc>
        <w:tc>
          <w:tcPr>
            <w:tcW w:w="1524" w:type="dxa"/>
          </w:tcPr>
          <w:p w14:paraId="604C82D5" w14:textId="322AFE3E" w:rsidR="00195A73" w:rsidRPr="00915558" w:rsidRDefault="00195A73" w:rsidP="00195A73">
            <w:pPr>
              <w:jc w:val="right"/>
              <w:rPr>
                <w:sz w:val="22"/>
                <w:szCs w:val="22"/>
              </w:rPr>
            </w:pPr>
            <w:r w:rsidRPr="57A40FC0">
              <w:rPr>
                <w:sz w:val="22"/>
                <w:szCs w:val="22"/>
              </w:rPr>
              <w:t>-</w:t>
            </w:r>
          </w:p>
        </w:tc>
        <w:tc>
          <w:tcPr>
            <w:tcW w:w="1524" w:type="dxa"/>
          </w:tcPr>
          <w:p w14:paraId="123D3215" w14:textId="116C02DD" w:rsidR="00195A73" w:rsidRPr="00915558" w:rsidRDefault="00195A73" w:rsidP="00195A73">
            <w:pPr>
              <w:jc w:val="right"/>
              <w:rPr>
                <w:sz w:val="22"/>
                <w:szCs w:val="22"/>
              </w:rPr>
            </w:pPr>
            <w:r w:rsidRPr="00F2550A">
              <w:t>-£0.06</w:t>
            </w:r>
          </w:p>
        </w:tc>
        <w:tc>
          <w:tcPr>
            <w:tcW w:w="1524" w:type="dxa"/>
          </w:tcPr>
          <w:p w14:paraId="290EB524" w14:textId="1775DBEF" w:rsidR="00195A73" w:rsidRPr="57A40FC0" w:rsidRDefault="00195A73" w:rsidP="00195A73">
            <w:pPr>
              <w:jc w:val="right"/>
              <w:rPr>
                <w:sz w:val="22"/>
                <w:szCs w:val="22"/>
              </w:rPr>
            </w:pPr>
            <w:r w:rsidRPr="003A0931">
              <w:t>-£0.0</w:t>
            </w:r>
            <w:r w:rsidR="00FD6B69">
              <w:t>3</w:t>
            </w:r>
          </w:p>
        </w:tc>
        <w:tc>
          <w:tcPr>
            <w:tcW w:w="1525" w:type="dxa"/>
          </w:tcPr>
          <w:p w14:paraId="058B6AE8" w14:textId="0F18C25A" w:rsidR="00195A73" w:rsidRPr="57A40FC0" w:rsidRDefault="00195A73" w:rsidP="00195A73">
            <w:pPr>
              <w:jc w:val="right"/>
              <w:rPr>
                <w:sz w:val="22"/>
                <w:szCs w:val="22"/>
              </w:rPr>
            </w:pPr>
            <w:r>
              <w:t>-</w:t>
            </w:r>
            <w:r w:rsidRPr="00C94B76">
              <w:t>£0.00</w:t>
            </w:r>
            <w:r>
              <w:t>1</w:t>
            </w:r>
          </w:p>
        </w:tc>
      </w:tr>
      <w:tr w:rsidR="00195A73" w:rsidRPr="00915558" w14:paraId="7E52D164" w14:textId="00D76E2B" w:rsidTr="00B64AB8">
        <w:tc>
          <w:tcPr>
            <w:tcW w:w="2019" w:type="dxa"/>
          </w:tcPr>
          <w:p w14:paraId="24D63759" w14:textId="77777777" w:rsidR="00195A73" w:rsidRPr="00915558" w:rsidRDefault="00195A73" w:rsidP="00195A73">
            <w:pPr>
              <w:rPr>
                <w:sz w:val="22"/>
                <w:szCs w:val="22"/>
              </w:rPr>
            </w:pPr>
            <w:r w:rsidRPr="00915558">
              <w:rPr>
                <w:sz w:val="22"/>
                <w:szCs w:val="22"/>
              </w:rPr>
              <w:t>Indirect Taxation</w:t>
            </w:r>
          </w:p>
        </w:tc>
        <w:tc>
          <w:tcPr>
            <w:tcW w:w="1524" w:type="dxa"/>
          </w:tcPr>
          <w:p w14:paraId="2ACFBB57" w14:textId="413D6713" w:rsidR="00195A73" w:rsidRPr="00915558" w:rsidRDefault="00195A73" w:rsidP="00195A73">
            <w:pPr>
              <w:jc w:val="right"/>
              <w:rPr>
                <w:sz w:val="22"/>
                <w:szCs w:val="22"/>
              </w:rPr>
            </w:pPr>
            <w:r w:rsidRPr="57A40FC0">
              <w:rPr>
                <w:sz w:val="22"/>
                <w:szCs w:val="22"/>
              </w:rPr>
              <w:t>-</w:t>
            </w:r>
          </w:p>
        </w:tc>
        <w:tc>
          <w:tcPr>
            <w:tcW w:w="1524" w:type="dxa"/>
          </w:tcPr>
          <w:p w14:paraId="36FBC97F" w14:textId="5C94BCAD" w:rsidR="00195A73" w:rsidRPr="00915558" w:rsidRDefault="00195A73" w:rsidP="00195A73">
            <w:pPr>
              <w:jc w:val="right"/>
              <w:rPr>
                <w:sz w:val="22"/>
                <w:szCs w:val="22"/>
              </w:rPr>
            </w:pPr>
            <w:r w:rsidRPr="57A40FC0">
              <w:rPr>
                <w:sz w:val="22"/>
                <w:szCs w:val="22"/>
              </w:rPr>
              <w:t>-</w:t>
            </w:r>
          </w:p>
        </w:tc>
        <w:tc>
          <w:tcPr>
            <w:tcW w:w="1524" w:type="dxa"/>
          </w:tcPr>
          <w:p w14:paraId="1AC4F48A" w14:textId="6D52B4F4" w:rsidR="00195A73" w:rsidRPr="00915558" w:rsidRDefault="00195A73" w:rsidP="00195A73">
            <w:pPr>
              <w:jc w:val="right"/>
              <w:rPr>
                <w:sz w:val="22"/>
                <w:szCs w:val="22"/>
              </w:rPr>
            </w:pPr>
            <w:r w:rsidRPr="00F2550A">
              <w:t>£0.08</w:t>
            </w:r>
          </w:p>
        </w:tc>
        <w:tc>
          <w:tcPr>
            <w:tcW w:w="1524" w:type="dxa"/>
          </w:tcPr>
          <w:p w14:paraId="6B5A0970" w14:textId="6FA42A85" w:rsidR="00195A73" w:rsidRPr="57A40FC0" w:rsidRDefault="00FD6B69" w:rsidP="00195A73">
            <w:pPr>
              <w:jc w:val="right"/>
              <w:rPr>
                <w:sz w:val="22"/>
                <w:szCs w:val="22"/>
              </w:rPr>
            </w:pPr>
            <w:r>
              <w:rPr>
                <w:sz w:val="22"/>
                <w:szCs w:val="22"/>
              </w:rPr>
              <w:t>£0.04</w:t>
            </w:r>
          </w:p>
        </w:tc>
        <w:tc>
          <w:tcPr>
            <w:tcW w:w="1525" w:type="dxa"/>
          </w:tcPr>
          <w:p w14:paraId="63AA08BD" w14:textId="4D97E2EF" w:rsidR="00195A73" w:rsidRPr="57A40FC0" w:rsidRDefault="00195A73" w:rsidP="00195A73">
            <w:pPr>
              <w:jc w:val="right"/>
              <w:rPr>
                <w:sz w:val="22"/>
                <w:szCs w:val="22"/>
              </w:rPr>
            </w:pPr>
            <w:r w:rsidRPr="00BB09F8">
              <w:rPr>
                <w:sz w:val="22"/>
                <w:szCs w:val="22"/>
              </w:rPr>
              <w:t>-</w:t>
            </w:r>
          </w:p>
        </w:tc>
      </w:tr>
      <w:tr w:rsidR="00195A73" w:rsidRPr="00915558" w14:paraId="2878D7DB" w14:textId="08F555A1" w:rsidTr="00B64AB8">
        <w:tc>
          <w:tcPr>
            <w:tcW w:w="2019" w:type="dxa"/>
          </w:tcPr>
          <w:p w14:paraId="4A37F2E5" w14:textId="77777777" w:rsidR="00195A73" w:rsidRPr="00915558" w:rsidRDefault="00195A73" w:rsidP="00195A73">
            <w:pPr>
              <w:rPr>
                <w:sz w:val="22"/>
                <w:szCs w:val="22"/>
              </w:rPr>
            </w:pPr>
            <w:r w:rsidRPr="00915558">
              <w:rPr>
                <w:sz w:val="22"/>
                <w:szCs w:val="22"/>
              </w:rPr>
              <w:t>Soil and Water Quality</w:t>
            </w:r>
          </w:p>
        </w:tc>
        <w:tc>
          <w:tcPr>
            <w:tcW w:w="1524" w:type="dxa"/>
          </w:tcPr>
          <w:p w14:paraId="6F12349A" w14:textId="2B58F5E5" w:rsidR="00195A73" w:rsidRPr="00915558" w:rsidRDefault="00195A73" w:rsidP="00195A73">
            <w:pPr>
              <w:jc w:val="right"/>
              <w:rPr>
                <w:sz w:val="22"/>
                <w:szCs w:val="22"/>
              </w:rPr>
            </w:pPr>
            <w:r w:rsidRPr="57A40FC0">
              <w:rPr>
                <w:sz w:val="22"/>
                <w:szCs w:val="22"/>
              </w:rPr>
              <w:t>-</w:t>
            </w:r>
          </w:p>
        </w:tc>
        <w:tc>
          <w:tcPr>
            <w:tcW w:w="1524" w:type="dxa"/>
          </w:tcPr>
          <w:p w14:paraId="37D84FC5" w14:textId="7CD5DFE0" w:rsidR="00195A73" w:rsidRPr="00915558" w:rsidRDefault="00195A73" w:rsidP="00195A73">
            <w:pPr>
              <w:jc w:val="right"/>
              <w:rPr>
                <w:sz w:val="22"/>
                <w:szCs w:val="22"/>
              </w:rPr>
            </w:pPr>
            <w:r w:rsidRPr="57A40FC0">
              <w:rPr>
                <w:sz w:val="22"/>
                <w:szCs w:val="22"/>
              </w:rPr>
              <w:t>-</w:t>
            </w:r>
          </w:p>
        </w:tc>
        <w:tc>
          <w:tcPr>
            <w:tcW w:w="1524" w:type="dxa"/>
          </w:tcPr>
          <w:p w14:paraId="660FC535" w14:textId="168BA122" w:rsidR="00195A73" w:rsidRPr="00915558" w:rsidRDefault="00195A73" w:rsidP="00195A73">
            <w:pPr>
              <w:jc w:val="right"/>
              <w:rPr>
                <w:sz w:val="22"/>
                <w:szCs w:val="22"/>
              </w:rPr>
            </w:pPr>
            <w:r w:rsidRPr="00F2550A">
              <w:t>-£0.014</w:t>
            </w:r>
          </w:p>
        </w:tc>
        <w:tc>
          <w:tcPr>
            <w:tcW w:w="1524" w:type="dxa"/>
          </w:tcPr>
          <w:p w14:paraId="378DC752" w14:textId="59D921A1" w:rsidR="00195A73" w:rsidRPr="57A40FC0" w:rsidRDefault="00195A73" w:rsidP="00195A73">
            <w:pPr>
              <w:jc w:val="right"/>
              <w:rPr>
                <w:sz w:val="22"/>
                <w:szCs w:val="22"/>
              </w:rPr>
            </w:pPr>
            <w:r w:rsidRPr="00BB09F8">
              <w:rPr>
                <w:sz w:val="22"/>
                <w:szCs w:val="22"/>
              </w:rPr>
              <w:t>-</w:t>
            </w:r>
          </w:p>
        </w:tc>
        <w:tc>
          <w:tcPr>
            <w:tcW w:w="1525" w:type="dxa"/>
          </w:tcPr>
          <w:p w14:paraId="46E2A8FA" w14:textId="463D65E0" w:rsidR="00195A73" w:rsidRPr="57A40FC0" w:rsidRDefault="00195A73" w:rsidP="00195A73">
            <w:pPr>
              <w:jc w:val="right"/>
              <w:rPr>
                <w:sz w:val="22"/>
                <w:szCs w:val="22"/>
              </w:rPr>
            </w:pPr>
            <w:r w:rsidRPr="00BB09F8">
              <w:rPr>
                <w:sz w:val="22"/>
                <w:szCs w:val="22"/>
              </w:rPr>
              <w:t>-</w:t>
            </w:r>
          </w:p>
        </w:tc>
      </w:tr>
      <w:tr w:rsidR="00195A73" w:rsidRPr="00915558" w14:paraId="173EF383" w14:textId="01DE9BFD" w:rsidTr="00B64AB8">
        <w:tc>
          <w:tcPr>
            <w:tcW w:w="2019" w:type="dxa"/>
          </w:tcPr>
          <w:p w14:paraId="3EFDB337" w14:textId="77777777" w:rsidR="00195A73" w:rsidRPr="00915558" w:rsidRDefault="00195A73" w:rsidP="00195A73">
            <w:pPr>
              <w:rPr>
                <w:sz w:val="22"/>
                <w:szCs w:val="22"/>
              </w:rPr>
            </w:pPr>
            <w:r w:rsidRPr="00915558">
              <w:rPr>
                <w:sz w:val="22"/>
                <w:szCs w:val="22"/>
              </w:rPr>
              <w:t>Well-to-tank Emissions</w:t>
            </w:r>
          </w:p>
        </w:tc>
        <w:tc>
          <w:tcPr>
            <w:tcW w:w="1524" w:type="dxa"/>
          </w:tcPr>
          <w:p w14:paraId="55E397AF" w14:textId="7B3DCCBB" w:rsidR="00195A73" w:rsidRPr="00915558" w:rsidRDefault="00195A73" w:rsidP="00195A73">
            <w:pPr>
              <w:jc w:val="right"/>
              <w:rPr>
                <w:sz w:val="22"/>
                <w:szCs w:val="22"/>
              </w:rPr>
            </w:pPr>
            <w:r w:rsidRPr="57A40FC0">
              <w:rPr>
                <w:sz w:val="22"/>
                <w:szCs w:val="22"/>
              </w:rPr>
              <w:t>-</w:t>
            </w:r>
          </w:p>
        </w:tc>
        <w:tc>
          <w:tcPr>
            <w:tcW w:w="1524" w:type="dxa"/>
          </w:tcPr>
          <w:p w14:paraId="3C5A18C5" w14:textId="2C73C259" w:rsidR="00195A73" w:rsidRPr="00915558" w:rsidRDefault="00195A73" w:rsidP="00195A73">
            <w:pPr>
              <w:jc w:val="right"/>
              <w:rPr>
                <w:sz w:val="22"/>
                <w:szCs w:val="22"/>
              </w:rPr>
            </w:pPr>
            <w:r w:rsidRPr="57A40FC0">
              <w:rPr>
                <w:sz w:val="22"/>
                <w:szCs w:val="22"/>
              </w:rPr>
              <w:t>-</w:t>
            </w:r>
          </w:p>
        </w:tc>
        <w:tc>
          <w:tcPr>
            <w:tcW w:w="1524" w:type="dxa"/>
          </w:tcPr>
          <w:p w14:paraId="4F1636E4" w14:textId="2742C30F" w:rsidR="00195A73" w:rsidRPr="00915558" w:rsidRDefault="00195A73" w:rsidP="00195A73">
            <w:pPr>
              <w:jc w:val="right"/>
              <w:rPr>
                <w:sz w:val="22"/>
                <w:szCs w:val="22"/>
              </w:rPr>
            </w:pPr>
            <w:r w:rsidRPr="00F2550A">
              <w:t>-£0.010</w:t>
            </w:r>
          </w:p>
        </w:tc>
        <w:tc>
          <w:tcPr>
            <w:tcW w:w="1524" w:type="dxa"/>
          </w:tcPr>
          <w:p w14:paraId="365C5D69" w14:textId="2527F109" w:rsidR="00195A73" w:rsidRPr="57A40FC0" w:rsidRDefault="002A3935" w:rsidP="00195A73">
            <w:pPr>
              <w:jc w:val="right"/>
              <w:rPr>
                <w:sz w:val="22"/>
                <w:szCs w:val="22"/>
              </w:rPr>
            </w:pPr>
            <w:r>
              <w:t>-</w:t>
            </w:r>
            <w:r w:rsidR="00195A73" w:rsidRPr="003A0931">
              <w:t>£0.00</w:t>
            </w:r>
            <w:r w:rsidR="00195A73">
              <w:t>3</w:t>
            </w:r>
          </w:p>
        </w:tc>
        <w:tc>
          <w:tcPr>
            <w:tcW w:w="1525" w:type="dxa"/>
          </w:tcPr>
          <w:p w14:paraId="5412DDC6" w14:textId="57FDC4C5" w:rsidR="00195A73" w:rsidRPr="57A40FC0" w:rsidRDefault="00195A73" w:rsidP="00195A73">
            <w:pPr>
              <w:jc w:val="right"/>
              <w:rPr>
                <w:sz w:val="22"/>
                <w:szCs w:val="22"/>
              </w:rPr>
            </w:pPr>
            <w:r w:rsidRPr="00C94B76">
              <w:t>-£0.01</w:t>
            </w:r>
          </w:p>
        </w:tc>
      </w:tr>
      <w:tr w:rsidR="00195A73" w:rsidRPr="00915558" w14:paraId="4AEA4AC6" w14:textId="3D23925E" w:rsidTr="00B64AB8">
        <w:tc>
          <w:tcPr>
            <w:tcW w:w="2019" w:type="dxa"/>
            <w:shd w:val="clear" w:color="auto" w:fill="F2F2F2" w:themeFill="background1" w:themeFillShade="F2"/>
          </w:tcPr>
          <w:p w14:paraId="6510A162" w14:textId="77777777" w:rsidR="00195A73" w:rsidRPr="00915558" w:rsidRDefault="00195A73" w:rsidP="00195A73">
            <w:pPr>
              <w:rPr>
                <w:sz w:val="22"/>
                <w:szCs w:val="22"/>
              </w:rPr>
            </w:pPr>
            <w:r w:rsidRPr="00915558">
              <w:rPr>
                <w:sz w:val="22"/>
                <w:szCs w:val="22"/>
              </w:rPr>
              <w:t>TOTAL per distance unit</w:t>
            </w:r>
          </w:p>
        </w:tc>
        <w:tc>
          <w:tcPr>
            <w:tcW w:w="1524" w:type="dxa"/>
            <w:shd w:val="clear" w:color="auto" w:fill="F2F2F2" w:themeFill="background1" w:themeFillShade="F2"/>
          </w:tcPr>
          <w:p w14:paraId="219ACE55" w14:textId="4A5F02A7" w:rsidR="00195A73" w:rsidRPr="00915558" w:rsidRDefault="00195A73" w:rsidP="00195A73">
            <w:pPr>
              <w:jc w:val="right"/>
              <w:rPr>
                <w:sz w:val="22"/>
                <w:szCs w:val="22"/>
              </w:rPr>
            </w:pPr>
            <w:r w:rsidRPr="00BD3C4D">
              <w:t>-£0.24</w:t>
            </w:r>
          </w:p>
        </w:tc>
        <w:tc>
          <w:tcPr>
            <w:tcW w:w="1524" w:type="dxa"/>
            <w:shd w:val="clear" w:color="auto" w:fill="F2F2F2" w:themeFill="background1" w:themeFillShade="F2"/>
          </w:tcPr>
          <w:p w14:paraId="1004A575" w14:textId="0A00012B" w:rsidR="00195A73" w:rsidRPr="00915558" w:rsidRDefault="00195A73" w:rsidP="00195A73">
            <w:pPr>
              <w:jc w:val="right"/>
              <w:rPr>
                <w:sz w:val="22"/>
                <w:szCs w:val="22"/>
              </w:rPr>
            </w:pPr>
            <w:r w:rsidRPr="004618F5">
              <w:t>-£1.21</w:t>
            </w:r>
          </w:p>
        </w:tc>
        <w:tc>
          <w:tcPr>
            <w:tcW w:w="1524" w:type="dxa"/>
            <w:shd w:val="clear" w:color="auto" w:fill="F2F2F2" w:themeFill="background1" w:themeFillShade="F2"/>
          </w:tcPr>
          <w:p w14:paraId="3F889BA1" w14:textId="262E37F6" w:rsidR="00195A73" w:rsidRPr="00915558" w:rsidRDefault="00195A73" w:rsidP="00195A73">
            <w:pPr>
              <w:jc w:val="right"/>
              <w:rPr>
                <w:sz w:val="22"/>
                <w:szCs w:val="22"/>
              </w:rPr>
            </w:pPr>
            <w:r w:rsidRPr="00F2550A">
              <w:t>-£1.50</w:t>
            </w:r>
          </w:p>
        </w:tc>
        <w:tc>
          <w:tcPr>
            <w:tcW w:w="1524" w:type="dxa"/>
            <w:shd w:val="clear" w:color="auto" w:fill="F2F2F2" w:themeFill="background1" w:themeFillShade="F2"/>
          </w:tcPr>
          <w:p w14:paraId="6B8A70F9" w14:textId="2E235BF5" w:rsidR="00195A73" w:rsidRPr="57A40FC0" w:rsidRDefault="00195A73" w:rsidP="00195A73">
            <w:pPr>
              <w:jc w:val="right"/>
              <w:rPr>
                <w:sz w:val="22"/>
                <w:szCs w:val="22"/>
              </w:rPr>
            </w:pPr>
            <w:r w:rsidRPr="003A0931">
              <w:t>-£1.2</w:t>
            </w:r>
            <w:r w:rsidR="00FD6B69">
              <w:t>7</w:t>
            </w:r>
          </w:p>
        </w:tc>
        <w:tc>
          <w:tcPr>
            <w:tcW w:w="1525" w:type="dxa"/>
            <w:shd w:val="clear" w:color="auto" w:fill="F2F2F2" w:themeFill="background1" w:themeFillShade="F2"/>
          </w:tcPr>
          <w:p w14:paraId="18B2EFE0" w14:textId="61A8F640" w:rsidR="00195A73" w:rsidRPr="57A40FC0" w:rsidRDefault="00195A73" w:rsidP="00195A73">
            <w:pPr>
              <w:jc w:val="right"/>
              <w:rPr>
                <w:sz w:val="22"/>
                <w:szCs w:val="22"/>
              </w:rPr>
            </w:pPr>
            <w:r w:rsidRPr="00C94B76">
              <w:t>-£1.3</w:t>
            </w:r>
            <w:r w:rsidR="00CD633A">
              <w:t>5</w:t>
            </w:r>
          </w:p>
        </w:tc>
      </w:tr>
      <w:tr w:rsidR="0089699D" w14:paraId="605556BB" w14:textId="4F427A2B" w:rsidTr="00B64AB8">
        <w:tc>
          <w:tcPr>
            <w:tcW w:w="2019" w:type="dxa"/>
            <w:shd w:val="clear" w:color="auto" w:fill="F2F2F2" w:themeFill="background1" w:themeFillShade="F2"/>
          </w:tcPr>
          <w:p w14:paraId="19437B1A" w14:textId="23EA455A" w:rsidR="00A94B85" w:rsidRPr="00915558" w:rsidRDefault="00A94B85" w:rsidP="00A94B85">
            <w:pPr>
              <w:rPr>
                <w:sz w:val="22"/>
                <w:szCs w:val="22"/>
              </w:rPr>
            </w:pPr>
            <w:r w:rsidRPr="00915558">
              <w:rPr>
                <w:sz w:val="22"/>
                <w:szCs w:val="22"/>
              </w:rPr>
              <w:t>TOTAL (without Time Cost) per distance unit</w:t>
            </w:r>
            <w:r>
              <w:rPr>
                <w:rStyle w:val="EndnoteReference"/>
                <w:sz w:val="22"/>
                <w:szCs w:val="22"/>
              </w:rPr>
              <w:endnoteReference w:id="2"/>
            </w:r>
          </w:p>
        </w:tc>
        <w:tc>
          <w:tcPr>
            <w:tcW w:w="1524" w:type="dxa"/>
            <w:shd w:val="clear" w:color="auto" w:fill="F2F2F2" w:themeFill="background1" w:themeFillShade="F2"/>
          </w:tcPr>
          <w:p w14:paraId="13D7FEC4" w14:textId="1D916646" w:rsidR="00A94B85" w:rsidRPr="00915558" w:rsidRDefault="00A94B85" w:rsidP="00A94B85">
            <w:pPr>
              <w:jc w:val="right"/>
              <w:rPr>
                <w:sz w:val="22"/>
                <w:szCs w:val="22"/>
              </w:rPr>
            </w:pPr>
            <w:r w:rsidRPr="00BD3C4D">
              <w:t>£1.06</w:t>
            </w:r>
          </w:p>
        </w:tc>
        <w:tc>
          <w:tcPr>
            <w:tcW w:w="1524" w:type="dxa"/>
            <w:shd w:val="clear" w:color="auto" w:fill="F2F2F2" w:themeFill="background1" w:themeFillShade="F2"/>
          </w:tcPr>
          <w:p w14:paraId="104C3501" w14:textId="65688669" w:rsidR="00A94B85" w:rsidRPr="00915558" w:rsidRDefault="00A94B85" w:rsidP="00A94B85">
            <w:pPr>
              <w:jc w:val="right"/>
              <w:rPr>
                <w:sz w:val="22"/>
                <w:szCs w:val="22"/>
              </w:rPr>
            </w:pPr>
            <w:r w:rsidRPr="004618F5">
              <w:t>£2.22</w:t>
            </w:r>
          </w:p>
        </w:tc>
        <w:tc>
          <w:tcPr>
            <w:tcW w:w="1524" w:type="dxa"/>
            <w:shd w:val="clear" w:color="auto" w:fill="F2F2F2" w:themeFill="background1" w:themeFillShade="F2"/>
          </w:tcPr>
          <w:p w14:paraId="53CE2A49" w14:textId="1DDE5DD7" w:rsidR="00A94B85" w:rsidRPr="00915558" w:rsidRDefault="00A94B85" w:rsidP="00A94B85">
            <w:pPr>
              <w:jc w:val="right"/>
              <w:rPr>
                <w:sz w:val="22"/>
                <w:szCs w:val="22"/>
              </w:rPr>
            </w:pPr>
            <w:r w:rsidRPr="00607356">
              <w:t>-£1.02</w:t>
            </w:r>
          </w:p>
        </w:tc>
        <w:tc>
          <w:tcPr>
            <w:tcW w:w="1524" w:type="dxa"/>
            <w:shd w:val="clear" w:color="auto" w:fill="F2F2F2" w:themeFill="background1" w:themeFillShade="F2"/>
          </w:tcPr>
          <w:p w14:paraId="3D60F7D3" w14:textId="636341B7" w:rsidR="00A94B85" w:rsidRPr="57A40FC0" w:rsidRDefault="00A94B85" w:rsidP="00A94B85">
            <w:pPr>
              <w:jc w:val="right"/>
              <w:rPr>
                <w:sz w:val="22"/>
                <w:szCs w:val="22"/>
              </w:rPr>
            </w:pPr>
            <w:r w:rsidRPr="003A0931">
              <w:t>-£0.4</w:t>
            </w:r>
            <w:r w:rsidR="00FD6B69">
              <w:t>7</w:t>
            </w:r>
          </w:p>
        </w:tc>
        <w:tc>
          <w:tcPr>
            <w:tcW w:w="1525" w:type="dxa"/>
            <w:shd w:val="clear" w:color="auto" w:fill="F2F2F2" w:themeFill="background1" w:themeFillShade="F2"/>
          </w:tcPr>
          <w:p w14:paraId="44559E6F" w14:textId="2459B2DD" w:rsidR="00A94B85" w:rsidRPr="57A40FC0" w:rsidRDefault="00A94B85" w:rsidP="00A94B85">
            <w:pPr>
              <w:jc w:val="right"/>
              <w:rPr>
                <w:sz w:val="22"/>
                <w:szCs w:val="22"/>
              </w:rPr>
            </w:pPr>
            <w:r w:rsidRPr="00C94B76">
              <w:t>-£0.</w:t>
            </w:r>
            <w:r w:rsidR="00CD633A">
              <w:t>78</w:t>
            </w:r>
          </w:p>
        </w:tc>
      </w:tr>
    </w:tbl>
    <w:p w14:paraId="155AFBB2" w14:textId="77777777" w:rsidR="00ED1FCB" w:rsidRDefault="00ED1FCB" w:rsidP="00915558"/>
    <w:p w14:paraId="00395539" w14:textId="7761320E" w:rsidR="00525ADC" w:rsidRDefault="00525ADC" w:rsidP="00525ADC">
      <w:pPr>
        <w:pStyle w:val="Heading2"/>
      </w:pPr>
      <w:r w:rsidRPr="00525ADC">
        <w:t>Changes in greenhouse gas and local pollutants levels</w:t>
      </w:r>
    </w:p>
    <w:p w14:paraId="6F80272E" w14:textId="5B61C619" w:rsidR="00D81ECE" w:rsidRDefault="00D81ECE" w:rsidP="00D81ECE">
      <w:r>
        <w:t>The tonnes of greenhouse gases (</w:t>
      </w:r>
      <w:r w:rsidR="00A17EFE">
        <w:t>Carbon Dioxide (CO</w:t>
      </w:r>
      <w:r w:rsidR="00A17EFE" w:rsidRPr="00A17EFE">
        <w:rPr>
          <w:vertAlign w:val="subscript"/>
        </w:rPr>
        <w:t>2</w:t>
      </w:r>
      <w:r w:rsidR="00A17EFE">
        <w:t>)</w:t>
      </w:r>
      <w:r w:rsidR="003669FA">
        <w:t>,</w:t>
      </w:r>
      <w:r w:rsidR="00A17EFE">
        <w:t xml:space="preserve"> Methane (</w:t>
      </w:r>
      <w:r w:rsidR="003669FA">
        <w:t>CH</w:t>
      </w:r>
      <w:r w:rsidR="003669FA" w:rsidRPr="00A17EFE">
        <w:rPr>
          <w:vertAlign w:val="subscript"/>
        </w:rPr>
        <w:t>4</w:t>
      </w:r>
      <w:r w:rsidR="00A17EFE">
        <w:t>)</w:t>
      </w:r>
      <w:r w:rsidR="003669FA">
        <w:t xml:space="preserve"> and</w:t>
      </w:r>
      <w:r w:rsidR="00A17EFE">
        <w:t xml:space="preserve"> Nitrous Oxide</w:t>
      </w:r>
      <w:r w:rsidR="003669FA">
        <w:t xml:space="preserve"> </w:t>
      </w:r>
      <w:r w:rsidR="00A17EFE">
        <w:t>(</w:t>
      </w:r>
      <w:r w:rsidR="003669FA">
        <w:t>N</w:t>
      </w:r>
      <w:r w:rsidR="003669FA" w:rsidRPr="00A17EFE">
        <w:rPr>
          <w:vertAlign w:val="subscript"/>
        </w:rPr>
        <w:t>2</w:t>
      </w:r>
      <w:r w:rsidR="003669FA">
        <w:t>0</w:t>
      </w:r>
      <w:r w:rsidR="00A17EFE">
        <w:t xml:space="preserve">), and </w:t>
      </w:r>
      <w:r w:rsidR="003B2517">
        <w:t xml:space="preserve">local pollutants (Particulate matter 10, Particulate matter 2.5 and Nitrogen Oxides) and </w:t>
      </w:r>
      <w:r w:rsidR="00904067">
        <w:t xml:space="preserve">calculated by applying the UK government </w:t>
      </w:r>
      <w:r w:rsidR="007A4C3D">
        <w:t>conversion factors to the</w:t>
      </w:r>
      <w:r w:rsidR="00A2310F">
        <w:t xml:space="preserve"> cycle</w:t>
      </w:r>
      <w:r w:rsidR="007A4C3D">
        <w:t xml:space="preserve"> </w:t>
      </w:r>
      <w:r w:rsidR="00A2310F">
        <w:t xml:space="preserve">trips/distance that </w:t>
      </w:r>
      <w:r w:rsidR="009F2172">
        <w:t>are replacing car/bus/train.</w:t>
      </w:r>
    </w:p>
    <w:p w14:paraId="1327631B" w14:textId="55FB9AF8" w:rsidR="009F2172" w:rsidRDefault="009F2172" w:rsidP="00D81ECE">
      <w:r>
        <w:t>For greenhouse gas calculations,</w:t>
      </w:r>
      <w:r w:rsidR="00D1207F">
        <w:t xml:space="preserve"> mode specific conversion</w:t>
      </w:r>
      <w:r>
        <w:t xml:space="preserve"> factors were</w:t>
      </w:r>
      <w:r w:rsidR="00D1207F">
        <w:t xml:space="preserve"> identified for </w:t>
      </w:r>
      <w:r w:rsidR="00251C27">
        <w:t xml:space="preserve">car, bus and train. For local pollutants conversion factors were identified for </w:t>
      </w:r>
      <w:r w:rsidR="006536AC">
        <w:t>car and bus.</w:t>
      </w:r>
    </w:p>
    <w:p w14:paraId="453526F6" w14:textId="29889E26" w:rsidR="006536AC" w:rsidRDefault="003A50B6" w:rsidP="006536AC">
      <w:pPr>
        <w:pStyle w:val="Heading2"/>
      </w:pPr>
      <w:r w:rsidRPr="003A50B6">
        <w:lastRenderedPageBreak/>
        <w:t>Changes in physical activity (health care system savings and reduction in sick days)</w:t>
      </w:r>
    </w:p>
    <w:p w14:paraId="080136C1" w14:textId="473E64C6" w:rsidR="006536AC" w:rsidRDefault="003A50B6" w:rsidP="00D81ECE">
      <w:r>
        <w:t xml:space="preserve">The </w:t>
      </w:r>
      <w:r w:rsidR="00AF559C">
        <w:t xml:space="preserve">external health savings from the Societal Gain Model are applied </w:t>
      </w:r>
      <w:r w:rsidR="002910F9">
        <w:t>and</w:t>
      </w:r>
      <w:r w:rsidR="008E4A05">
        <w:t xml:space="preserve"> summarised on their own. </w:t>
      </w:r>
      <w:r w:rsidR="00877825">
        <w:t>This</w:t>
      </w:r>
      <w:r w:rsidR="002B08D8">
        <w:t xml:space="preserve"> is</w:t>
      </w:r>
      <w:r w:rsidR="00877825">
        <w:t xml:space="preserve"> </w:t>
      </w:r>
      <w:r w:rsidR="00A102CD">
        <w:t xml:space="preserve">taken from </w:t>
      </w:r>
      <w:r w:rsidR="005C1DDE">
        <w:t>Denmark</w:t>
      </w:r>
      <w:r w:rsidR="006D60FC">
        <w:t>-</w:t>
      </w:r>
      <w:r w:rsidR="00CF6FE6">
        <w:t>based research in which the health care system savings and employ</w:t>
      </w:r>
      <w:r w:rsidR="00816E05">
        <w:t>er benefits from a reduction in sick days, due on increased cycling, are summarised as a single value</w:t>
      </w:r>
      <w:r w:rsidR="002E6542">
        <w:t>.</w:t>
      </w:r>
    </w:p>
    <w:p w14:paraId="50E565EB" w14:textId="10548982" w:rsidR="002E6542" w:rsidRDefault="002E6542" w:rsidP="00D81ECE">
      <w:r>
        <w:t xml:space="preserve">In addition, the number of </w:t>
      </w:r>
      <w:r w:rsidR="008A6DBB">
        <w:t>employee</w:t>
      </w:r>
      <w:r>
        <w:t xml:space="preserve"> sickness absence days</w:t>
      </w:r>
      <w:r w:rsidR="00454F55">
        <w:t xml:space="preserve">, is calculated. This </w:t>
      </w:r>
      <w:r w:rsidR="007B3185">
        <w:t>is based</w:t>
      </w:r>
      <w:r w:rsidR="007D0EA9">
        <w:t xml:space="preserve"> on</w:t>
      </w:r>
      <w:r w:rsidR="0028776C">
        <w:t xml:space="preserve"> detail in the</w:t>
      </w:r>
      <w:r w:rsidR="007D0EA9">
        <w:t xml:space="preserve"> </w:t>
      </w:r>
      <w:r w:rsidR="00447EE2">
        <w:t xml:space="preserve">Department </w:t>
      </w:r>
      <w:r w:rsidR="005D12A9">
        <w:t xml:space="preserve">for Transport </w:t>
      </w:r>
      <w:r w:rsidR="00732855">
        <w:t>appraisal guidance (</w:t>
      </w:r>
      <w:r w:rsidR="0005285C">
        <w:t>TAG Unit A4.1) and the Active Mode Appraisal Toolkit.</w:t>
      </w:r>
    </w:p>
    <w:p w14:paraId="7E8BA379" w14:textId="53734F82" w:rsidR="00963C44" w:rsidRDefault="00963C44" w:rsidP="00963C44">
      <w:pPr>
        <w:pStyle w:val="Heading2"/>
      </w:pPr>
      <w:bookmarkStart w:id="1" w:name="_Ref172716560"/>
      <w:r w:rsidRPr="005A3BA8">
        <w:t>E</w:t>
      </w:r>
      <w:r>
        <w:t>xclusions from the modelling process</w:t>
      </w:r>
      <w:bookmarkEnd w:id="1"/>
    </w:p>
    <w:p w14:paraId="3E6C1D30" w14:textId="764DF34A" w:rsidR="00963C44" w:rsidRDefault="00D51435" w:rsidP="00963C44">
      <w:r>
        <w:t>S</w:t>
      </w:r>
      <w:r w:rsidR="00D43581">
        <w:t>ome survey respondents were excluded from the</w:t>
      </w:r>
      <w:r w:rsidR="003D4C58">
        <w:t xml:space="preserve"> calculations in the modelling process</w:t>
      </w:r>
      <w:r w:rsidR="00763344">
        <w:t>:</w:t>
      </w:r>
    </w:p>
    <w:p w14:paraId="2D16E11C" w14:textId="4EA80672" w:rsidR="00763344" w:rsidRPr="00EE5481" w:rsidRDefault="00763344" w:rsidP="001D2352">
      <w:pPr>
        <w:pStyle w:val="Body"/>
        <w:numPr>
          <w:ilvl w:val="0"/>
          <w:numId w:val="20"/>
        </w:numPr>
        <w:rPr>
          <w:sz w:val="28"/>
          <w:szCs w:val="26"/>
        </w:rPr>
      </w:pPr>
      <w:r w:rsidRPr="00EE5481">
        <w:rPr>
          <w:sz w:val="28"/>
          <w:szCs w:val="26"/>
        </w:rPr>
        <w:t>Respondents who suggested an unviable value for each individual cycle type were excluded. In other words</w:t>
      </w:r>
      <w:r w:rsidR="002853C7">
        <w:rPr>
          <w:sz w:val="28"/>
          <w:szCs w:val="26"/>
        </w:rPr>
        <w:t>,</w:t>
      </w:r>
      <w:r w:rsidRPr="00825062">
        <w:rPr>
          <w:sz w:val="28"/>
          <w:szCs w:val="26"/>
        </w:rPr>
        <w:t xml:space="preserve"> any responses below the minimum cost for the specific discount level/cycle type combination were excluded from the modelling for that specific discount level. The minimum </w:t>
      </w:r>
      <w:r w:rsidR="005F73E8">
        <w:rPr>
          <w:sz w:val="28"/>
          <w:szCs w:val="26"/>
        </w:rPr>
        <w:t>amount</w:t>
      </w:r>
      <w:r w:rsidRPr="00EE5481">
        <w:rPr>
          <w:sz w:val="28"/>
          <w:szCs w:val="26"/>
        </w:rPr>
        <w:t xml:space="preserve"> that the respondent would need to be willing to pay for a cycle are shown </w:t>
      </w:r>
      <w:r w:rsidRPr="00EE5481">
        <w:rPr>
          <w:sz w:val="28"/>
          <w:szCs w:val="28"/>
        </w:rPr>
        <w:t xml:space="preserve">in </w:t>
      </w:r>
      <w:r w:rsidR="00BF2597" w:rsidRPr="00BF2597">
        <w:rPr>
          <w:sz w:val="28"/>
          <w:szCs w:val="28"/>
        </w:rPr>
        <w:fldChar w:fldCharType="begin"/>
      </w:r>
      <w:r w:rsidR="00BF2597" w:rsidRPr="00BF2597">
        <w:rPr>
          <w:sz w:val="28"/>
          <w:szCs w:val="28"/>
        </w:rPr>
        <w:instrText xml:space="preserve"> REF _Ref172715409 \h </w:instrText>
      </w:r>
      <w:r w:rsidR="00BF2597">
        <w:rPr>
          <w:sz w:val="28"/>
          <w:szCs w:val="28"/>
        </w:rPr>
        <w:instrText xml:space="preserve"> \* MERGEFORMAT </w:instrText>
      </w:r>
      <w:r w:rsidR="00BF2597" w:rsidRPr="00BF2597">
        <w:rPr>
          <w:sz w:val="28"/>
          <w:szCs w:val="28"/>
        </w:rPr>
      </w:r>
      <w:r w:rsidR="00BF2597" w:rsidRPr="00BF2597">
        <w:rPr>
          <w:sz w:val="28"/>
          <w:szCs w:val="28"/>
        </w:rPr>
        <w:fldChar w:fldCharType="separate"/>
      </w:r>
      <w:r w:rsidR="001154BA" w:rsidRPr="00825062">
        <w:rPr>
          <w:sz w:val="28"/>
          <w:szCs w:val="28"/>
        </w:rPr>
        <w:t xml:space="preserve">Table </w:t>
      </w:r>
      <w:r w:rsidR="001154BA" w:rsidRPr="00825062">
        <w:rPr>
          <w:noProof/>
          <w:sz w:val="28"/>
          <w:szCs w:val="28"/>
        </w:rPr>
        <w:t>3</w:t>
      </w:r>
      <w:r w:rsidR="00BF2597" w:rsidRPr="00BF2597">
        <w:rPr>
          <w:sz w:val="28"/>
          <w:szCs w:val="28"/>
        </w:rPr>
        <w:fldChar w:fldCharType="end"/>
      </w:r>
      <w:r w:rsidRPr="00EE5481">
        <w:rPr>
          <w:sz w:val="28"/>
          <w:szCs w:val="28"/>
        </w:rPr>
        <w:t>,</w:t>
      </w:r>
      <w:r w:rsidRPr="00EE5481">
        <w:rPr>
          <w:sz w:val="28"/>
          <w:szCs w:val="26"/>
        </w:rPr>
        <w:t xml:space="preserve"> alongside the minimum cost for each cycle type.</w:t>
      </w:r>
    </w:p>
    <w:p w14:paraId="4092922E" w14:textId="70ED0147" w:rsidR="00FD04C9" w:rsidRDefault="00FD04C9" w:rsidP="00EE5481">
      <w:pPr>
        <w:pStyle w:val="Caption"/>
      </w:pPr>
      <w:bookmarkStart w:id="2" w:name="_Ref172715409"/>
      <w:r>
        <w:lastRenderedPageBreak/>
        <w:t xml:space="preserve">Table </w:t>
      </w:r>
      <w:r>
        <w:fldChar w:fldCharType="begin"/>
      </w:r>
      <w:r>
        <w:instrText xml:space="preserve"> SEQ Table \* ARABIC </w:instrText>
      </w:r>
      <w:r>
        <w:fldChar w:fldCharType="separate"/>
      </w:r>
      <w:r w:rsidR="001154BA">
        <w:rPr>
          <w:noProof/>
        </w:rPr>
        <w:t>3</w:t>
      </w:r>
      <w:r>
        <w:fldChar w:fldCharType="end"/>
      </w:r>
      <w:bookmarkEnd w:id="2"/>
      <w:r>
        <w:t xml:space="preserve">. </w:t>
      </w:r>
      <w:r w:rsidR="00805C50" w:rsidRPr="00805C50">
        <w:t>Minimum willingness to pay value in each cycle type/discount level combination</w:t>
      </w:r>
    </w:p>
    <w:tbl>
      <w:tblPr>
        <w:tblStyle w:val="Plaintable"/>
        <w:tblpPr w:leftFromText="180" w:rightFromText="180" w:vertAnchor="text" w:horzAnchor="margin" w:tblpX="-998" w:tblpY="168"/>
        <w:tblW w:w="9954" w:type="dxa"/>
        <w:tblLayout w:type="fixed"/>
        <w:tblLook w:val="04A0" w:firstRow="1" w:lastRow="0" w:firstColumn="1" w:lastColumn="0" w:noHBand="0" w:noVBand="1"/>
      </w:tblPr>
      <w:tblGrid>
        <w:gridCol w:w="1555"/>
        <w:gridCol w:w="1134"/>
        <w:gridCol w:w="908"/>
        <w:gridCol w:w="908"/>
        <w:gridCol w:w="908"/>
        <w:gridCol w:w="908"/>
        <w:gridCol w:w="908"/>
        <w:gridCol w:w="908"/>
        <w:gridCol w:w="908"/>
        <w:gridCol w:w="909"/>
      </w:tblGrid>
      <w:tr w:rsidR="003D4B93" w:rsidRPr="00F50CE7" w14:paraId="4BBC38CC" w14:textId="77777777" w:rsidTr="004A1F4B">
        <w:trPr>
          <w:cnfStyle w:val="100000000000" w:firstRow="1" w:lastRow="0" w:firstColumn="0" w:lastColumn="0" w:oddVBand="0" w:evenVBand="0" w:oddHBand="0" w:evenHBand="0" w:firstRowFirstColumn="0" w:firstRowLastColumn="0" w:lastRowFirstColumn="0" w:lastRowLastColumn="0"/>
        </w:trPr>
        <w:tc>
          <w:tcPr>
            <w:tcW w:w="1555" w:type="dxa"/>
          </w:tcPr>
          <w:p w14:paraId="19590DE4" w14:textId="6BCA5694" w:rsidR="00D44657" w:rsidRPr="004A1F4B" w:rsidRDefault="00D44657" w:rsidP="00D44657">
            <w:pPr>
              <w:rPr>
                <w:sz w:val="20"/>
                <w:szCs w:val="20"/>
              </w:rPr>
            </w:pPr>
            <w:r w:rsidRPr="004A1F4B">
              <w:rPr>
                <w:sz w:val="20"/>
                <w:szCs w:val="20"/>
              </w:rPr>
              <w:t>Cycle type</w:t>
            </w:r>
          </w:p>
        </w:tc>
        <w:tc>
          <w:tcPr>
            <w:tcW w:w="1134" w:type="dxa"/>
          </w:tcPr>
          <w:p w14:paraId="1D2865C0" w14:textId="5B7D1BE0" w:rsidR="00D44657" w:rsidRPr="00D44657" w:rsidRDefault="00D44657" w:rsidP="004A1F4B">
            <w:pPr>
              <w:jc w:val="center"/>
              <w:rPr>
                <w:sz w:val="20"/>
                <w:szCs w:val="20"/>
              </w:rPr>
            </w:pPr>
            <w:r w:rsidRPr="00D44657">
              <w:rPr>
                <w:sz w:val="20"/>
                <w:szCs w:val="20"/>
              </w:rPr>
              <w:t>Minimum cost in survey</w:t>
            </w:r>
          </w:p>
        </w:tc>
        <w:tc>
          <w:tcPr>
            <w:tcW w:w="908" w:type="dxa"/>
            <w:vAlign w:val="center"/>
          </w:tcPr>
          <w:p w14:paraId="41020224" w14:textId="1F406AC3" w:rsidR="00D44657" w:rsidRPr="00D44657" w:rsidRDefault="00D44657" w:rsidP="004A1F4B">
            <w:pPr>
              <w:jc w:val="center"/>
              <w:rPr>
                <w:sz w:val="20"/>
                <w:szCs w:val="20"/>
              </w:rPr>
            </w:pPr>
            <w:r w:rsidRPr="004A1F4B">
              <w:rPr>
                <w:sz w:val="20"/>
                <w:szCs w:val="20"/>
              </w:rPr>
              <w:t>£50</w:t>
            </w:r>
          </w:p>
        </w:tc>
        <w:tc>
          <w:tcPr>
            <w:tcW w:w="908" w:type="dxa"/>
            <w:vAlign w:val="center"/>
          </w:tcPr>
          <w:p w14:paraId="74C87FE1" w14:textId="054C6D92" w:rsidR="00D44657" w:rsidRPr="00D44657" w:rsidRDefault="00D44657" w:rsidP="004A1F4B">
            <w:pPr>
              <w:jc w:val="center"/>
              <w:rPr>
                <w:sz w:val="20"/>
                <w:szCs w:val="20"/>
              </w:rPr>
            </w:pPr>
            <w:r w:rsidRPr="004A1F4B">
              <w:rPr>
                <w:sz w:val="20"/>
                <w:szCs w:val="20"/>
              </w:rPr>
              <w:t>£100</w:t>
            </w:r>
          </w:p>
        </w:tc>
        <w:tc>
          <w:tcPr>
            <w:tcW w:w="908" w:type="dxa"/>
            <w:vAlign w:val="center"/>
          </w:tcPr>
          <w:p w14:paraId="001952EA" w14:textId="60142C64" w:rsidR="00D44657" w:rsidRPr="00D44657" w:rsidRDefault="00D44657" w:rsidP="004A1F4B">
            <w:pPr>
              <w:jc w:val="center"/>
              <w:rPr>
                <w:sz w:val="20"/>
                <w:szCs w:val="20"/>
              </w:rPr>
            </w:pPr>
            <w:r w:rsidRPr="004A1F4B">
              <w:rPr>
                <w:sz w:val="20"/>
                <w:szCs w:val="20"/>
              </w:rPr>
              <w:t>£150</w:t>
            </w:r>
          </w:p>
        </w:tc>
        <w:tc>
          <w:tcPr>
            <w:tcW w:w="908" w:type="dxa"/>
            <w:vAlign w:val="center"/>
          </w:tcPr>
          <w:p w14:paraId="1567A7E5" w14:textId="00F7D492" w:rsidR="00D44657" w:rsidRPr="00D44657" w:rsidRDefault="00D44657" w:rsidP="004A1F4B">
            <w:pPr>
              <w:jc w:val="center"/>
              <w:rPr>
                <w:sz w:val="20"/>
                <w:szCs w:val="20"/>
              </w:rPr>
            </w:pPr>
            <w:r w:rsidRPr="004A1F4B">
              <w:rPr>
                <w:sz w:val="20"/>
                <w:szCs w:val="20"/>
              </w:rPr>
              <w:t>£200</w:t>
            </w:r>
          </w:p>
        </w:tc>
        <w:tc>
          <w:tcPr>
            <w:tcW w:w="908" w:type="dxa"/>
            <w:vAlign w:val="center"/>
          </w:tcPr>
          <w:p w14:paraId="77750BEA" w14:textId="3EA28928" w:rsidR="00D44657" w:rsidRPr="00D44657" w:rsidRDefault="00D44657" w:rsidP="004A1F4B">
            <w:pPr>
              <w:jc w:val="center"/>
              <w:rPr>
                <w:sz w:val="20"/>
                <w:szCs w:val="20"/>
              </w:rPr>
            </w:pPr>
            <w:r w:rsidRPr="004A1F4B">
              <w:rPr>
                <w:sz w:val="20"/>
                <w:szCs w:val="20"/>
              </w:rPr>
              <w:t>20%</w:t>
            </w:r>
          </w:p>
        </w:tc>
        <w:tc>
          <w:tcPr>
            <w:tcW w:w="908" w:type="dxa"/>
            <w:vAlign w:val="center"/>
          </w:tcPr>
          <w:p w14:paraId="3C179CD6" w14:textId="7C748C22" w:rsidR="00D44657" w:rsidRPr="00D44657" w:rsidRDefault="00D44657" w:rsidP="004A1F4B">
            <w:pPr>
              <w:jc w:val="center"/>
              <w:rPr>
                <w:sz w:val="20"/>
                <w:szCs w:val="20"/>
              </w:rPr>
            </w:pPr>
            <w:r w:rsidRPr="004A1F4B">
              <w:rPr>
                <w:sz w:val="20"/>
                <w:szCs w:val="20"/>
              </w:rPr>
              <w:t>30%</w:t>
            </w:r>
          </w:p>
        </w:tc>
        <w:tc>
          <w:tcPr>
            <w:tcW w:w="908" w:type="dxa"/>
            <w:vAlign w:val="center"/>
          </w:tcPr>
          <w:p w14:paraId="765025CE" w14:textId="1E310065" w:rsidR="00D44657" w:rsidRPr="00D44657" w:rsidRDefault="00D44657" w:rsidP="004A1F4B">
            <w:pPr>
              <w:jc w:val="center"/>
              <w:rPr>
                <w:sz w:val="20"/>
                <w:szCs w:val="20"/>
              </w:rPr>
            </w:pPr>
            <w:r w:rsidRPr="004A1F4B">
              <w:rPr>
                <w:sz w:val="20"/>
                <w:szCs w:val="20"/>
              </w:rPr>
              <w:t>40%</w:t>
            </w:r>
          </w:p>
        </w:tc>
        <w:tc>
          <w:tcPr>
            <w:tcW w:w="909" w:type="dxa"/>
            <w:vAlign w:val="center"/>
          </w:tcPr>
          <w:p w14:paraId="0876AC4A" w14:textId="09E4B0C7" w:rsidR="00D44657" w:rsidRPr="004A1F4B" w:rsidRDefault="00D44657" w:rsidP="004A1F4B">
            <w:pPr>
              <w:jc w:val="center"/>
              <w:rPr>
                <w:sz w:val="20"/>
                <w:szCs w:val="20"/>
              </w:rPr>
            </w:pPr>
            <w:r w:rsidRPr="004A1F4B">
              <w:rPr>
                <w:sz w:val="20"/>
                <w:szCs w:val="20"/>
              </w:rPr>
              <w:t>50%</w:t>
            </w:r>
          </w:p>
        </w:tc>
      </w:tr>
      <w:tr w:rsidR="003D4B93" w:rsidRPr="00F50CE7" w14:paraId="60B1C6B2" w14:textId="77777777" w:rsidTr="004A1F4B">
        <w:tc>
          <w:tcPr>
            <w:tcW w:w="1555" w:type="dxa"/>
          </w:tcPr>
          <w:p w14:paraId="0EDBC081" w14:textId="5CE8FC14" w:rsidR="00FD3C5C" w:rsidRPr="004A1F4B" w:rsidRDefault="00FD3C5C" w:rsidP="00FD3C5C">
            <w:pPr>
              <w:rPr>
                <w:sz w:val="20"/>
                <w:szCs w:val="20"/>
              </w:rPr>
            </w:pPr>
            <w:r w:rsidRPr="004A1F4B">
              <w:rPr>
                <w:sz w:val="20"/>
                <w:szCs w:val="20"/>
              </w:rPr>
              <w:t>Standard bicycle</w:t>
            </w:r>
          </w:p>
        </w:tc>
        <w:tc>
          <w:tcPr>
            <w:tcW w:w="1134" w:type="dxa"/>
          </w:tcPr>
          <w:p w14:paraId="1E468AE9" w14:textId="2258E507" w:rsidR="00FD3C5C" w:rsidRPr="004A1F4B" w:rsidRDefault="00FD3C5C" w:rsidP="00FD3C5C">
            <w:pPr>
              <w:rPr>
                <w:sz w:val="18"/>
                <w:szCs w:val="18"/>
              </w:rPr>
            </w:pPr>
            <w:r w:rsidRPr="004A1F4B">
              <w:rPr>
                <w:sz w:val="18"/>
                <w:szCs w:val="18"/>
              </w:rPr>
              <w:t>£140</w:t>
            </w:r>
          </w:p>
        </w:tc>
        <w:tc>
          <w:tcPr>
            <w:tcW w:w="908" w:type="dxa"/>
          </w:tcPr>
          <w:p w14:paraId="22F3C7BB" w14:textId="4756FDD5" w:rsidR="00FD3C5C" w:rsidRPr="004A1F4B" w:rsidRDefault="00FD3C5C" w:rsidP="00FD3C5C">
            <w:pPr>
              <w:rPr>
                <w:sz w:val="18"/>
                <w:szCs w:val="18"/>
              </w:rPr>
            </w:pPr>
            <w:r w:rsidRPr="004A1F4B">
              <w:rPr>
                <w:sz w:val="18"/>
                <w:szCs w:val="18"/>
              </w:rPr>
              <w:t>£90</w:t>
            </w:r>
          </w:p>
        </w:tc>
        <w:tc>
          <w:tcPr>
            <w:tcW w:w="908" w:type="dxa"/>
          </w:tcPr>
          <w:p w14:paraId="117FDFA8" w14:textId="6F54A85F" w:rsidR="00FD3C5C" w:rsidRPr="004A1F4B" w:rsidRDefault="00FD3C5C" w:rsidP="00FD3C5C">
            <w:pPr>
              <w:rPr>
                <w:sz w:val="18"/>
                <w:szCs w:val="18"/>
              </w:rPr>
            </w:pPr>
            <w:r w:rsidRPr="004A1F4B">
              <w:rPr>
                <w:sz w:val="18"/>
                <w:szCs w:val="18"/>
              </w:rPr>
              <w:t>£40</w:t>
            </w:r>
          </w:p>
        </w:tc>
        <w:tc>
          <w:tcPr>
            <w:tcW w:w="908" w:type="dxa"/>
          </w:tcPr>
          <w:p w14:paraId="7A66B435" w14:textId="1DCC361B" w:rsidR="00FD3C5C" w:rsidRPr="004A1F4B" w:rsidRDefault="00FD3C5C" w:rsidP="00FD3C5C">
            <w:pPr>
              <w:rPr>
                <w:sz w:val="18"/>
                <w:szCs w:val="18"/>
              </w:rPr>
            </w:pPr>
            <w:r w:rsidRPr="004A1F4B">
              <w:rPr>
                <w:sz w:val="18"/>
                <w:szCs w:val="18"/>
              </w:rPr>
              <w:t>£0</w:t>
            </w:r>
          </w:p>
        </w:tc>
        <w:tc>
          <w:tcPr>
            <w:tcW w:w="908" w:type="dxa"/>
          </w:tcPr>
          <w:p w14:paraId="49219E4A" w14:textId="3E446B5F" w:rsidR="00FD3C5C" w:rsidRPr="004A1F4B" w:rsidRDefault="00FD3C5C" w:rsidP="00FD3C5C">
            <w:pPr>
              <w:rPr>
                <w:sz w:val="18"/>
                <w:szCs w:val="18"/>
              </w:rPr>
            </w:pPr>
            <w:r w:rsidRPr="004A1F4B">
              <w:rPr>
                <w:sz w:val="18"/>
                <w:szCs w:val="18"/>
              </w:rPr>
              <w:t>£0</w:t>
            </w:r>
          </w:p>
        </w:tc>
        <w:tc>
          <w:tcPr>
            <w:tcW w:w="908" w:type="dxa"/>
          </w:tcPr>
          <w:p w14:paraId="2A108437" w14:textId="61D7F2E0" w:rsidR="00FD3C5C" w:rsidRPr="004A1F4B" w:rsidRDefault="00FD3C5C" w:rsidP="00FD3C5C">
            <w:pPr>
              <w:rPr>
                <w:sz w:val="18"/>
                <w:szCs w:val="18"/>
              </w:rPr>
            </w:pPr>
            <w:r w:rsidRPr="004A1F4B">
              <w:rPr>
                <w:sz w:val="18"/>
                <w:szCs w:val="18"/>
              </w:rPr>
              <w:t>£112</w:t>
            </w:r>
          </w:p>
        </w:tc>
        <w:tc>
          <w:tcPr>
            <w:tcW w:w="908" w:type="dxa"/>
          </w:tcPr>
          <w:p w14:paraId="57646CA4" w14:textId="348D73A3" w:rsidR="00FD3C5C" w:rsidRPr="004A1F4B" w:rsidRDefault="00FD3C5C" w:rsidP="00FD3C5C">
            <w:pPr>
              <w:rPr>
                <w:sz w:val="18"/>
                <w:szCs w:val="18"/>
              </w:rPr>
            </w:pPr>
            <w:r w:rsidRPr="004A1F4B">
              <w:rPr>
                <w:sz w:val="18"/>
                <w:szCs w:val="18"/>
              </w:rPr>
              <w:t>£98</w:t>
            </w:r>
          </w:p>
        </w:tc>
        <w:tc>
          <w:tcPr>
            <w:tcW w:w="908" w:type="dxa"/>
          </w:tcPr>
          <w:p w14:paraId="455DF8AF" w14:textId="3199FC26" w:rsidR="00FD3C5C" w:rsidRPr="004A1F4B" w:rsidRDefault="00FD3C5C" w:rsidP="00FD3C5C">
            <w:pPr>
              <w:rPr>
                <w:sz w:val="18"/>
                <w:szCs w:val="18"/>
              </w:rPr>
            </w:pPr>
            <w:r w:rsidRPr="004A1F4B">
              <w:rPr>
                <w:sz w:val="18"/>
                <w:szCs w:val="18"/>
              </w:rPr>
              <w:t>£84</w:t>
            </w:r>
          </w:p>
        </w:tc>
        <w:tc>
          <w:tcPr>
            <w:tcW w:w="909" w:type="dxa"/>
          </w:tcPr>
          <w:p w14:paraId="1F74D8E7" w14:textId="33EE8412" w:rsidR="00FD3C5C" w:rsidRPr="004A1F4B" w:rsidRDefault="00FD3C5C" w:rsidP="00FD3C5C">
            <w:pPr>
              <w:rPr>
                <w:sz w:val="18"/>
                <w:szCs w:val="18"/>
              </w:rPr>
            </w:pPr>
            <w:r w:rsidRPr="004A1F4B">
              <w:rPr>
                <w:sz w:val="18"/>
                <w:szCs w:val="18"/>
              </w:rPr>
              <w:t>£70</w:t>
            </w:r>
          </w:p>
        </w:tc>
      </w:tr>
      <w:tr w:rsidR="003D4B93" w:rsidRPr="00F50CE7" w14:paraId="6280CB45" w14:textId="77777777" w:rsidTr="004A1F4B">
        <w:tc>
          <w:tcPr>
            <w:tcW w:w="1555" w:type="dxa"/>
          </w:tcPr>
          <w:p w14:paraId="1F207E05" w14:textId="44D71966" w:rsidR="00FD3C5C" w:rsidRPr="004A1F4B" w:rsidRDefault="00FD3C5C" w:rsidP="00FD3C5C">
            <w:pPr>
              <w:rPr>
                <w:sz w:val="20"/>
                <w:szCs w:val="20"/>
              </w:rPr>
            </w:pPr>
            <w:r w:rsidRPr="004A1F4B">
              <w:rPr>
                <w:sz w:val="20"/>
                <w:szCs w:val="20"/>
              </w:rPr>
              <w:t>E-cycle</w:t>
            </w:r>
          </w:p>
        </w:tc>
        <w:tc>
          <w:tcPr>
            <w:tcW w:w="1134" w:type="dxa"/>
          </w:tcPr>
          <w:p w14:paraId="3CF7400D" w14:textId="52DF0FFF" w:rsidR="00FD3C5C" w:rsidRPr="004A1F4B" w:rsidRDefault="00FD3C5C" w:rsidP="00FD3C5C">
            <w:pPr>
              <w:rPr>
                <w:sz w:val="18"/>
                <w:szCs w:val="18"/>
              </w:rPr>
            </w:pPr>
            <w:r w:rsidRPr="004A1F4B">
              <w:rPr>
                <w:sz w:val="18"/>
                <w:szCs w:val="18"/>
              </w:rPr>
              <w:t>£550</w:t>
            </w:r>
          </w:p>
        </w:tc>
        <w:tc>
          <w:tcPr>
            <w:tcW w:w="908" w:type="dxa"/>
          </w:tcPr>
          <w:p w14:paraId="3F40B5A2" w14:textId="52759190" w:rsidR="00FD3C5C" w:rsidRPr="004A1F4B" w:rsidRDefault="00FD3C5C" w:rsidP="00FD3C5C">
            <w:pPr>
              <w:rPr>
                <w:sz w:val="18"/>
                <w:szCs w:val="18"/>
              </w:rPr>
            </w:pPr>
            <w:r w:rsidRPr="004A1F4B">
              <w:rPr>
                <w:sz w:val="18"/>
                <w:szCs w:val="18"/>
              </w:rPr>
              <w:t>£500</w:t>
            </w:r>
          </w:p>
        </w:tc>
        <w:tc>
          <w:tcPr>
            <w:tcW w:w="908" w:type="dxa"/>
          </w:tcPr>
          <w:p w14:paraId="266F32F7" w14:textId="035E18AF" w:rsidR="00FD3C5C" w:rsidRPr="004A1F4B" w:rsidRDefault="00FD3C5C" w:rsidP="00FD3C5C">
            <w:pPr>
              <w:rPr>
                <w:sz w:val="18"/>
                <w:szCs w:val="18"/>
              </w:rPr>
            </w:pPr>
            <w:r w:rsidRPr="004A1F4B">
              <w:rPr>
                <w:sz w:val="18"/>
                <w:szCs w:val="18"/>
              </w:rPr>
              <w:t>£450</w:t>
            </w:r>
          </w:p>
        </w:tc>
        <w:tc>
          <w:tcPr>
            <w:tcW w:w="908" w:type="dxa"/>
          </w:tcPr>
          <w:p w14:paraId="7F048E55" w14:textId="4BE59D1B" w:rsidR="00FD3C5C" w:rsidRPr="004A1F4B" w:rsidRDefault="00FD3C5C" w:rsidP="00FD3C5C">
            <w:pPr>
              <w:rPr>
                <w:sz w:val="18"/>
                <w:szCs w:val="18"/>
              </w:rPr>
            </w:pPr>
            <w:r w:rsidRPr="004A1F4B">
              <w:rPr>
                <w:sz w:val="18"/>
                <w:szCs w:val="18"/>
              </w:rPr>
              <w:t>£400</w:t>
            </w:r>
          </w:p>
        </w:tc>
        <w:tc>
          <w:tcPr>
            <w:tcW w:w="908" w:type="dxa"/>
          </w:tcPr>
          <w:p w14:paraId="37899DD3" w14:textId="42C9031A" w:rsidR="00FD3C5C" w:rsidRPr="004A1F4B" w:rsidRDefault="00FD3C5C" w:rsidP="00FD3C5C">
            <w:pPr>
              <w:rPr>
                <w:sz w:val="18"/>
                <w:szCs w:val="18"/>
              </w:rPr>
            </w:pPr>
            <w:r w:rsidRPr="004A1F4B">
              <w:rPr>
                <w:sz w:val="18"/>
                <w:szCs w:val="18"/>
              </w:rPr>
              <w:t>£350</w:t>
            </w:r>
          </w:p>
        </w:tc>
        <w:tc>
          <w:tcPr>
            <w:tcW w:w="908" w:type="dxa"/>
          </w:tcPr>
          <w:p w14:paraId="445B5E30" w14:textId="3488E4AC" w:rsidR="00FD3C5C" w:rsidRPr="004A1F4B" w:rsidRDefault="00FD3C5C" w:rsidP="00FD3C5C">
            <w:pPr>
              <w:rPr>
                <w:sz w:val="18"/>
                <w:szCs w:val="18"/>
              </w:rPr>
            </w:pPr>
            <w:r w:rsidRPr="004A1F4B">
              <w:rPr>
                <w:sz w:val="18"/>
                <w:szCs w:val="18"/>
              </w:rPr>
              <w:t>£440</w:t>
            </w:r>
          </w:p>
        </w:tc>
        <w:tc>
          <w:tcPr>
            <w:tcW w:w="908" w:type="dxa"/>
          </w:tcPr>
          <w:p w14:paraId="213822C4" w14:textId="02B9675D" w:rsidR="00FD3C5C" w:rsidRPr="004A1F4B" w:rsidRDefault="00FD3C5C" w:rsidP="00FD3C5C">
            <w:pPr>
              <w:rPr>
                <w:sz w:val="18"/>
                <w:szCs w:val="18"/>
              </w:rPr>
            </w:pPr>
            <w:r w:rsidRPr="004A1F4B">
              <w:rPr>
                <w:sz w:val="18"/>
                <w:szCs w:val="18"/>
              </w:rPr>
              <w:t>£385</w:t>
            </w:r>
          </w:p>
        </w:tc>
        <w:tc>
          <w:tcPr>
            <w:tcW w:w="908" w:type="dxa"/>
          </w:tcPr>
          <w:p w14:paraId="0C2DD948" w14:textId="1DBF1C33" w:rsidR="00FD3C5C" w:rsidRPr="004A1F4B" w:rsidRDefault="00FD3C5C" w:rsidP="00FD3C5C">
            <w:pPr>
              <w:rPr>
                <w:sz w:val="18"/>
                <w:szCs w:val="18"/>
              </w:rPr>
            </w:pPr>
            <w:r w:rsidRPr="004A1F4B">
              <w:rPr>
                <w:sz w:val="18"/>
                <w:szCs w:val="18"/>
              </w:rPr>
              <w:t>£330</w:t>
            </w:r>
          </w:p>
        </w:tc>
        <w:tc>
          <w:tcPr>
            <w:tcW w:w="909" w:type="dxa"/>
          </w:tcPr>
          <w:p w14:paraId="3C8F5A1C" w14:textId="76048F32" w:rsidR="00FD3C5C" w:rsidRPr="004A1F4B" w:rsidRDefault="00FD3C5C" w:rsidP="00FD3C5C">
            <w:pPr>
              <w:rPr>
                <w:sz w:val="18"/>
                <w:szCs w:val="18"/>
              </w:rPr>
            </w:pPr>
            <w:r w:rsidRPr="004A1F4B">
              <w:rPr>
                <w:sz w:val="18"/>
                <w:szCs w:val="18"/>
              </w:rPr>
              <w:t>£275</w:t>
            </w:r>
          </w:p>
        </w:tc>
      </w:tr>
      <w:tr w:rsidR="003D4B93" w:rsidRPr="00F50CE7" w14:paraId="5F5FBD8D" w14:textId="77777777" w:rsidTr="004A1F4B">
        <w:tc>
          <w:tcPr>
            <w:tcW w:w="1555" w:type="dxa"/>
          </w:tcPr>
          <w:p w14:paraId="020313E0" w14:textId="258E3E0D" w:rsidR="00FD3C5C" w:rsidRPr="004A1F4B" w:rsidRDefault="00FD3C5C" w:rsidP="00FD3C5C">
            <w:pPr>
              <w:rPr>
                <w:sz w:val="20"/>
                <w:szCs w:val="20"/>
              </w:rPr>
            </w:pPr>
            <w:r w:rsidRPr="004A1F4B">
              <w:rPr>
                <w:sz w:val="20"/>
                <w:szCs w:val="20"/>
              </w:rPr>
              <w:t>Non-standard cycle</w:t>
            </w:r>
          </w:p>
        </w:tc>
        <w:tc>
          <w:tcPr>
            <w:tcW w:w="1134" w:type="dxa"/>
          </w:tcPr>
          <w:p w14:paraId="0366027D" w14:textId="50843D25" w:rsidR="00FD3C5C" w:rsidRPr="004A1F4B" w:rsidRDefault="00FD3C5C" w:rsidP="00FD3C5C">
            <w:pPr>
              <w:rPr>
                <w:sz w:val="18"/>
                <w:szCs w:val="18"/>
              </w:rPr>
            </w:pPr>
            <w:r w:rsidRPr="004A1F4B">
              <w:rPr>
                <w:sz w:val="18"/>
                <w:szCs w:val="18"/>
              </w:rPr>
              <w:t>£250</w:t>
            </w:r>
          </w:p>
        </w:tc>
        <w:tc>
          <w:tcPr>
            <w:tcW w:w="908" w:type="dxa"/>
          </w:tcPr>
          <w:p w14:paraId="4834599C" w14:textId="7C2A98EB" w:rsidR="00FD3C5C" w:rsidRPr="004A1F4B" w:rsidRDefault="00FD3C5C" w:rsidP="00FD3C5C">
            <w:pPr>
              <w:rPr>
                <w:sz w:val="18"/>
                <w:szCs w:val="18"/>
              </w:rPr>
            </w:pPr>
            <w:r w:rsidRPr="004A1F4B">
              <w:rPr>
                <w:sz w:val="18"/>
                <w:szCs w:val="18"/>
              </w:rPr>
              <w:t>£200</w:t>
            </w:r>
          </w:p>
        </w:tc>
        <w:tc>
          <w:tcPr>
            <w:tcW w:w="908" w:type="dxa"/>
          </w:tcPr>
          <w:p w14:paraId="346D4286" w14:textId="09395F78" w:rsidR="00FD3C5C" w:rsidRPr="004A1F4B" w:rsidRDefault="00FD3C5C" w:rsidP="00FD3C5C">
            <w:pPr>
              <w:rPr>
                <w:sz w:val="18"/>
                <w:szCs w:val="18"/>
              </w:rPr>
            </w:pPr>
            <w:r w:rsidRPr="004A1F4B">
              <w:rPr>
                <w:sz w:val="18"/>
                <w:szCs w:val="18"/>
              </w:rPr>
              <w:t>£150</w:t>
            </w:r>
          </w:p>
        </w:tc>
        <w:tc>
          <w:tcPr>
            <w:tcW w:w="908" w:type="dxa"/>
          </w:tcPr>
          <w:p w14:paraId="5DAC0819" w14:textId="791027E0" w:rsidR="00FD3C5C" w:rsidRPr="004A1F4B" w:rsidRDefault="00FD3C5C" w:rsidP="00FD3C5C">
            <w:pPr>
              <w:rPr>
                <w:sz w:val="18"/>
                <w:szCs w:val="18"/>
              </w:rPr>
            </w:pPr>
            <w:r w:rsidRPr="004A1F4B">
              <w:rPr>
                <w:sz w:val="18"/>
                <w:szCs w:val="18"/>
              </w:rPr>
              <w:t>£100</w:t>
            </w:r>
          </w:p>
        </w:tc>
        <w:tc>
          <w:tcPr>
            <w:tcW w:w="908" w:type="dxa"/>
          </w:tcPr>
          <w:p w14:paraId="5BA51E16" w14:textId="7BD6BFCC" w:rsidR="00FD3C5C" w:rsidRPr="004A1F4B" w:rsidRDefault="00FD3C5C" w:rsidP="00FD3C5C">
            <w:pPr>
              <w:rPr>
                <w:sz w:val="18"/>
                <w:szCs w:val="18"/>
              </w:rPr>
            </w:pPr>
            <w:r w:rsidRPr="004A1F4B">
              <w:rPr>
                <w:sz w:val="18"/>
                <w:szCs w:val="18"/>
              </w:rPr>
              <w:t>£50</w:t>
            </w:r>
          </w:p>
        </w:tc>
        <w:tc>
          <w:tcPr>
            <w:tcW w:w="908" w:type="dxa"/>
          </w:tcPr>
          <w:p w14:paraId="1DCE43A8" w14:textId="7888E606" w:rsidR="00FD3C5C" w:rsidRPr="004A1F4B" w:rsidRDefault="00FD3C5C" w:rsidP="00FD3C5C">
            <w:pPr>
              <w:rPr>
                <w:sz w:val="18"/>
                <w:szCs w:val="18"/>
              </w:rPr>
            </w:pPr>
            <w:r w:rsidRPr="004A1F4B">
              <w:rPr>
                <w:sz w:val="18"/>
                <w:szCs w:val="18"/>
              </w:rPr>
              <w:t>£200</w:t>
            </w:r>
          </w:p>
        </w:tc>
        <w:tc>
          <w:tcPr>
            <w:tcW w:w="908" w:type="dxa"/>
          </w:tcPr>
          <w:p w14:paraId="5DE79762" w14:textId="36ED6A31" w:rsidR="00FD3C5C" w:rsidRPr="004A1F4B" w:rsidRDefault="00FD3C5C" w:rsidP="00FD3C5C">
            <w:pPr>
              <w:rPr>
                <w:sz w:val="18"/>
                <w:szCs w:val="18"/>
              </w:rPr>
            </w:pPr>
            <w:r w:rsidRPr="004A1F4B">
              <w:rPr>
                <w:sz w:val="18"/>
                <w:szCs w:val="18"/>
              </w:rPr>
              <w:t>£175</w:t>
            </w:r>
          </w:p>
        </w:tc>
        <w:tc>
          <w:tcPr>
            <w:tcW w:w="908" w:type="dxa"/>
          </w:tcPr>
          <w:p w14:paraId="3460E58F" w14:textId="4D0FB6F0" w:rsidR="00FD3C5C" w:rsidRPr="004A1F4B" w:rsidRDefault="00FD3C5C" w:rsidP="00FD3C5C">
            <w:pPr>
              <w:rPr>
                <w:sz w:val="18"/>
                <w:szCs w:val="18"/>
              </w:rPr>
            </w:pPr>
            <w:r w:rsidRPr="004A1F4B">
              <w:rPr>
                <w:sz w:val="18"/>
                <w:szCs w:val="18"/>
              </w:rPr>
              <w:t>£150</w:t>
            </w:r>
          </w:p>
        </w:tc>
        <w:tc>
          <w:tcPr>
            <w:tcW w:w="909" w:type="dxa"/>
          </w:tcPr>
          <w:p w14:paraId="4B1E2AE0" w14:textId="72986CC2" w:rsidR="00FD3C5C" w:rsidRPr="004A1F4B" w:rsidRDefault="00FD3C5C" w:rsidP="00FD3C5C">
            <w:pPr>
              <w:rPr>
                <w:sz w:val="18"/>
                <w:szCs w:val="18"/>
              </w:rPr>
            </w:pPr>
            <w:r w:rsidRPr="004A1F4B">
              <w:rPr>
                <w:sz w:val="18"/>
                <w:szCs w:val="18"/>
              </w:rPr>
              <w:t>£125</w:t>
            </w:r>
          </w:p>
        </w:tc>
      </w:tr>
      <w:tr w:rsidR="003D4B93" w:rsidRPr="00F50CE7" w14:paraId="5820DE76" w14:textId="77777777" w:rsidTr="004A1F4B">
        <w:tc>
          <w:tcPr>
            <w:tcW w:w="1555" w:type="dxa"/>
          </w:tcPr>
          <w:p w14:paraId="76F7A376" w14:textId="61BB4CF4" w:rsidR="00FD3C5C" w:rsidRPr="004A1F4B" w:rsidRDefault="00FD3C5C" w:rsidP="00FD3C5C">
            <w:pPr>
              <w:rPr>
                <w:sz w:val="20"/>
                <w:szCs w:val="20"/>
              </w:rPr>
            </w:pPr>
            <w:r w:rsidRPr="004A1F4B">
              <w:rPr>
                <w:sz w:val="20"/>
                <w:szCs w:val="20"/>
              </w:rPr>
              <w:t>Cargo cycle</w:t>
            </w:r>
          </w:p>
        </w:tc>
        <w:tc>
          <w:tcPr>
            <w:tcW w:w="1134" w:type="dxa"/>
          </w:tcPr>
          <w:p w14:paraId="178CF04C" w14:textId="1E3EDFD5" w:rsidR="00FD3C5C" w:rsidRPr="004A1F4B" w:rsidRDefault="00FD3C5C" w:rsidP="00FD3C5C">
            <w:pPr>
              <w:rPr>
                <w:sz w:val="18"/>
                <w:szCs w:val="18"/>
              </w:rPr>
            </w:pPr>
            <w:r w:rsidRPr="004A1F4B">
              <w:rPr>
                <w:sz w:val="18"/>
                <w:szCs w:val="18"/>
              </w:rPr>
              <w:t xml:space="preserve">£1,500 </w:t>
            </w:r>
          </w:p>
        </w:tc>
        <w:tc>
          <w:tcPr>
            <w:tcW w:w="908" w:type="dxa"/>
          </w:tcPr>
          <w:p w14:paraId="191EF084" w14:textId="6D1DA6CC" w:rsidR="00FD3C5C" w:rsidRPr="004A1F4B" w:rsidRDefault="00FD3C5C" w:rsidP="00FD3C5C">
            <w:pPr>
              <w:rPr>
                <w:sz w:val="18"/>
                <w:szCs w:val="18"/>
              </w:rPr>
            </w:pPr>
            <w:r w:rsidRPr="004A1F4B">
              <w:rPr>
                <w:sz w:val="18"/>
                <w:szCs w:val="18"/>
              </w:rPr>
              <w:t>£1,450</w:t>
            </w:r>
          </w:p>
        </w:tc>
        <w:tc>
          <w:tcPr>
            <w:tcW w:w="908" w:type="dxa"/>
          </w:tcPr>
          <w:p w14:paraId="579EB571" w14:textId="2594D7B2" w:rsidR="00FD3C5C" w:rsidRPr="004A1F4B" w:rsidRDefault="00FD3C5C" w:rsidP="00FD3C5C">
            <w:pPr>
              <w:rPr>
                <w:sz w:val="18"/>
                <w:szCs w:val="18"/>
              </w:rPr>
            </w:pPr>
            <w:r w:rsidRPr="004A1F4B">
              <w:rPr>
                <w:sz w:val="18"/>
                <w:szCs w:val="18"/>
              </w:rPr>
              <w:t>£1,400</w:t>
            </w:r>
          </w:p>
        </w:tc>
        <w:tc>
          <w:tcPr>
            <w:tcW w:w="908" w:type="dxa"/>
          </w:tcPr>
          <w:p w14:paraId="6E0E3555" w14:textId="5A239D9B" w:rsidR="00FD3C5C" w:rsidRPr="004A1F4B" w:rsidRDefault="00FD3C5C" w:rsidP="00FD3C5C">
            <w:pPr>
              <w:rPr>
                <w:sz w:val="18"/>
                <w:szCs w:val="18"/>
              </w:rPr>
            </w:pPr>
            <w:r w:rsidRPr="004A1F4B">
              <w:rPr>
                <w:sz w:val="18"/>
                <w:szCs w:val="18"/>
              </w:rPr>
              <w:t>£1,350</w:t>
            </w:r>
          </w:p>
        </w:tc>
        <w:tc>
          <w:tcPr>
            <w:tcW w:w="908" w:type="dxa"/>
          </w:tcPr>
          <w:p w14:paraId="35B7FFF6" w14:textId="23622A43" w:rsidR="00FD3C5C" w:rsidRPr="004A1F4B" w:rsidRDefault="00FD3C5C" w:rsidP="00FD3C5C">
            <w:pPr>
              <w:rPr>
                <w:sz w:val="18"/>
                <w:szCs w:val="18"/>
              </w:rPr>
            </w:pPr>
            <w:r w:rsidRPr="004A1F4B">
              <w:rPr>
                <w:sz w:val="18"/>
                <w:szCs w:val="18"/>
              </w:rPr>
              <w:t>£1,300</w:t>
            </w:r>
          </w:p>
        </w:tc>
        <w:tc>
          <w:tcPr>
            <w:tcW w:w="908" w:type="dxa"/>
          </w:tcPr>
          <w:p w14:paraId="440C0812" w14:textId="07FC15D9" w:rsidR="00FD3C5C" w:rsidRPr="004A1F4B" w:rsidRDefault="00FD3C5C" w:rsidP="00FD3C5C">
            <w:pPr>
              <w:rPr>
                <w:sz w:val="18"/>
                <w:szCs w:val="18"/>
              </w:rPr>
            </w:pPr>
            <w:r w:rsidRPr="004A1F4B">
              <w:rPr>
                <w:sz w:val="18"/>
                <w:szCs w:val="18"/>
              </w:rPr>
              <w:t>£1,200</w:t>
            </w:r>
          </w:p>
        </w:tc>
        <w:tc>
          <w:tcPr>
            <w:tcW w:w="908" w:type="dxa"/>
          </w:tcPr>
          <w:p w14:paraId="66D43C63" w14:textId="6CDEE093" w:rsidR="00FD3C5C" w:rsidRPr="004A1F4B" w:rsidRDefault="00FD3C5C" w:rsidP="00FD3C5C">
            <w:pPr>
              <w:rPr>
                <w:sz w:val="18"/>
                <w:szCs w:val="18"/>
              </w:rPr>
            </w:pPr>
            <w:r w:rsidRPr="004A1F4B">
              <w:rPr>
                <w:sz w:val="18"/>
                <w:szCs w:val="18"/>
              </w:rPr>
              <w:t>£1,050</w:t>
            </w:r>
          </w:p>
        </w:tc>
        <w:tc>
          <w:tcPr>
            <w:tcW w:w="908" w:type="dxa"/>
          </w:tcPr>
          <w:p w14:paraId="07DA7E2F" w14:textId="3D5A50D4" w:rsidR="00FD3C5C" w:rsidRPr="004A1F4B" w:rsidRDefault="00FD3C5C" w:rsidP="00FD3C5C">
            <w:pPr>
              <w:rPr>
                <w:sz w:val="18"/>
                <w:szCs w:val="18"/>
              </w:rPr>
            </w:pPr>
            <w:r w:rsidRPr="004A1F4B">
              <w:rPr>
                <w:sz w:val="18"/>
                <w:szCs w:val="18"/>
              </w:rPr>
              <w:t>£900</w:t>
            </w:r>
          </w:p>
        </w:tc>
        <w:tc>
          <w:tcPr>
            <w:tcW w:w="909" w:type="dxa"/>
          </w:tcPr>
          <w:p w14:paraId="1546CC86" w14:textId="0341056C" w:rsidR="00FD3C5C" w:rsidRPr="004A1F4B" w:rsidRDefault="00FD3C5C" w:rsidP="00FD3C5C">
            <w:pPr>
              <w:rPr>
                <w:sz w:val="18"/>
                <w:szCs w:val="18"/>
              </w:rPr>
            </w:pPr>
            <w:r w:rsidRPr="004A1F4B">
              <w:rPr>
                <w:sz w:val="18"/>
                <w:szCs w:val="18"/>
              </w:rPr>
              <w:t>£750</w:t>
            </w:r>
          </w:p>
        </w:tc>
      </w:tr>
    </w:tbl>
    <w:p w14:paraId="73EF964A" w14:textId="77777777" w:rsidR="00763344" w:rsidRDefault="00763344" w:rsidP="00963C44"/>
    <w:p w14:paraId="64452A2C" w14:textId="65F09C6A" w:rsidR="00E94017" w:rsidRPr="00E94017" w:rsidRDefault="00FD3C5C" w:rsidP="001D2352">
      <w:pPr>
        <w:pStyle w:val="Body"/>
        <w:numPr>
          <w:ilvl w:val="0"/>
          <w:numId w:val="21"/>
        </w:numPr>
        <w:rPr>
          <w:sz w:val="28"/>
          <w:szCs w:val="26"/>
        </w:rPr>
      </w:pPr>
      <w:r w:rsidRPr="0095541C">
        <w:rPr>
          <w:sz w:val="28"/>
          <w:szCs w:val="26"/>
        </w:rPr>
        <w:t>Responde</w:t>
      </w:r>
      <w:r w:rsidR="00E94017">
        <w:rPr>
          <w:sz w:val="28"/>
          <w:szCs w:val="26"/>
        </w:rPr>
        <w:t>nts</w:t>
      </w:r>
      <w:r w:rsidR="00E94017" w:rsidRPr="00E94017">
        <w:rPr>
          <w:sz w:val="28"/>
          <w:szCs w:val="26"/>
        </w:rPr>
        <w:t xml:space="preserve"> who said they could not afford a cycle but then said they could afford a cycle more than 10% over the minimum quoted cost were also excluded. This equates to:</w:t>
      </w:r>
    </w:p>
    <w:p w14:paraId="4C6FD4B7" w14:textId="77777777" w:rsidR="00E94017" w:rsidRPr="00E94017" w:rsidRDefault="00E94017" w:rsidP="001D2352">
      <w:pPr>
        <w:pStyle w:val="Body"/>
        <w:numPr>
          <w:ilvl w:val="1"/>
          <w:numId w:val="11"/>
        </w:numPr>
        <w:rPr>
          <w:sz w:val="28"/>
          <w:szCs w:val="26"/>
        </w:rPr>
      </w:pPr>
      <w:r w:rsidRPr="00E94017">
        <w:rPr>
          <w:sz w:val="28"/>
          <w:szCs w:val="26"/>
        </w:rPr>
        <w:t>Bicycle: (£140 *1.1) = £154 after discount</w:t>
      </w:r>
    </w:p>
    <w:p w14:paraId="79405E8C" w14:textId="77777777" w:rsidR="00E94017" w:rsidRPr="00E94017" w:rsidRDefault="00E94017" w:rsidP="001D2352">
      <w:pPr>
        <w:pStyle w:val="Body"/>
        <w:numPr>
          <w:ilvl w:val="1"/>
          <w:numId w:val="11"/>
        </w:numPr>
        <w:rPr>
          <w:sz w:val="28"/>
          <w:szCs w:val="26"/>
        </w:rPr>
      </w:pPr>
      <w:r w:rsidRPr="00E94017">
        <w:rPr>
          <w:sz w:val="28"/>
          <w:szCs w:val="26"/>
        </w:rPr>
        <w:t>E-cycle: (£550 *1.1) = £605 after discount</w:t>
      </w:r>
    </w:p>
    <w:p w14:paraId="35781A8B" w14:textId="77777777" w:rsidR="00E94017" w:rsidRPr="00E94017" w:rsidRDefault="00E94017" w:rsidP="001D2352">
      <w:pPr>
        <w:pStyle w:val="Body"/>
        <w:numPr>
          <w:ilvl w:val="1"/>
          <w:numId w:val="11"/>
        </w:numPr>
        <w:rPr>
          <w:sz w:val="28"/>
          <w:szCs w:val="26"/>
        </w:rPr>
      </w:pPr>
      <w:r w:rsidRPr="00E94017">
        <w:rPr>
          <w:sz w:val="28"/>
          <w:szCs w:val="26"/>
        </w:rPr>
        <w:t>Non-standard cycle: (£250 *1.1) = £275 after discount</w:t>
      </w:r>
    </w:p>
    <w:p w14:paraId="46BD0461" w14:textId="3C68BF96" w:rsidR="003D4C58" w:rsidRPr="00825062" w:rsidRDefault="00E94017" w:rsidP="001D2352">
      <w:pPr>
        <w:pStyle w:val="Body"/>
        <w:numPr>
          <w:ilvl w:val="1"/>
          <w:numId w:val="11"/>
        </w:numPr>
        <w:rPr>
          <w:sz w:val="28"/>
          <w:szCs w:val="26"/>
        </w:rPr>
      </w:pPr>
      <w:r w:rsidRPr="00E94017">
        <w:rPr>
          <w:sz w:val="28"/>
          <w:szCs w:val="26"/>
        </w:rPr>
        <w:t>Cargo cycle: (£1500 * 1.1) = £1,650 after discount</w:t>
      </w:r>
      <w:r w:rsidR="00F0715F">
        <w:rPr>
          <w:sz w:val="28"/>
          <w:szCs w:val="26"/>
        </w:rPr>
        <w:t>.</w:t>
      </w:r>
    </w:p>
    <w:p w14:paraId="0E859BE3" w14:textId="3FFDDD8D" w:rsidR="00F0715F" w:rsidRDefault="00F0715F">
      <w:r>
        <w:br w:type="page"/>
      </w:r>
    </w:p>
    <w:p w14:paraId="09292F89" w14:textId="77777777" w:rsidR="00600446" w:rsidRPr="00D81ECE" w:rsidRDefault="00600446" w:rsidP="00D81ECE"/>
    <w:p w14:paraId="3F2A1D85" w14:textId="77777777" w:rsidR="005D5198" w:rsidRPr="00B57C2C" w:rsidRDefault="005D5198" w:rsidP="008E693F">
      <w:r w:rsidRPr="00B57C2C">
        <w:t>Sustrans is a registered charity in England and Wales (number 326550) and Scotland (SC039263).</w:t>
      </w:r>
    </w:p>
    <w:p w14:paraId="4DBB4936" w14:textId="77777777" w:rsidR="005D5198" w:rsidRPr="00B57C2C" w:rsidRDefault="005D5198" w:rsidP="008E693F">
      <w:r w:rsidRPr="00B57C2C">
        <w:t>We work for and with communities, helping them come to life by walking, wheeling and cycling.</w:t>
      </w:r>
    </w:p>
    <w:p w14:paraId="24F48AEA" w14:textId="77777777" w:rsidR="005D5198" w:rsidRPr="00B57C2C" w:rsidRDefault="005D5198" w:rsidP="008E693F">
      <w:r w:rsidRPr="00B57C2C">
        <w:t>We campaign to create healthier places and happier lives for everyone.</w:t>
      </w:r>
    </w:p>
    <w:p w14:paraId="5481F4DE" w14:textId="77777777" w:rsidR="005D5198" w:rsidRPr="00B57C2C" w:rsidRDefault="005D5198" w:rsidP="008E693F">
      <w:r w:rsidRPr="00B57C2C">
        <w:t>Join us on our journey.</w:t>
      </w:r>
      <w:r w:rsidRPr="008E693F">
        <w:t xml:space="preserve"> </w:t>
      </w:r>
      <w:hyperlink r:id="rId12" w:tooltip="Sustrans home page" w:history="1">
        <w:r w:rsidRPr="008E693F">
          <w:rPr>
            <w:rStyle w:val="Hyperlink"/>
          </w:rPr>
          <w:t>www.sustrans.org.uk</w:t>
        </w:r>
      </w:hyperlink>
    </w:p>
    <w:sectPr w:rsidR="005D5198" w:rsidRPr="00B57C2C" w:rsidSect="00571635">
      <w:headerReference w:type="default" r:id="rId13"/>
      <w:footerReference w:type="default" r:id="rId14"/>
      <w:headerReference w:type="first" r:id="rId15"/>
      <w:pgSz w:w="11906" w:h="16838" w:code="9"/>
      <w:pgMar w:top="1440" w:right="2019" w:bottom="1440" w:left="2019" w:header="709"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1171E" w14:textId="77777777" w:rsidR="00F33E8A" w:rsidRDefault="00F33E8A" w:rsidP="0089381F">
      <w:r>
        <w:separator/>
      </w:r>
    </w:p>
    <w:p w14:paraId="3C90E258" w14:textId="77777777" w:rsidR="00F33E8A" w:rsidRDefault="00F33E8A"/>
  </w:endnote>
  <w:endnote w:type="continuationSeparator" w:id="0">
    <w:p w14:paraId="723F5D21" w14:textId="77777777" w:rsidR="00F33E8A" w:rsidRDefault="00F33E8A" w:rsidP="0089381F">
      <w:r>
        <w:continuationSeparator/>
      </w:r>
    </w:p>
    <w:p w14:paraId="03E4AE4F" w14:textId="77777777" w:rsidR="00F33E8A" w:rsidRDefault="00F33E8A"/>
  </w:endnote>
  <w:endnote w:type="continuationNotice" w:id="1">
    <w:p w14:paraId="49E16E06" w14:textId="77777777" w:rsidR="00F33E8A" w:rsidRDefault="00F33E8A">
      <w:pPr>
        <w:spacing w:after="0" w:line="240" w:lineRule="auto"/>
      </w:pPr>
    </w:p>
  </w:endnote>
  <w:endnote w:id="2">
    <w:p w14:paraId="41A2A69F" w14:textId="4B395D8C" w:rsidR="00A94B85" w:rsidRDefault="00A94B85" w:rsidP="00A9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Blac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DECB" w14:textId="5237E62B" w:rsidR="00013D20" w:rsidRDefault="00000000" w:rsidP="00571635">
    <w:pPr>
      <w:pStyle w:val="Footer"/>
    </w:pPr>
    <w:sdt>
      <w:sdtPr>
        <w:rPr>
          <w:rStyle w:val="Footer-page-numberChar"/>
        </w:rPr>
        <w:alias w:val="Page number"/>
        <w:tag w:val="footer-page-number"/>
        <w:id w:val="639614684"/>
        <w:lock w:val="sdtContentLocked"/>
        <w:showingPlcHdr/>
      </w:sdtPr>
      <w:sdtEndPr>
        <w:rPr>
          <w:rStyle w:val="DefaultParagraphFont"/>
          <w:b w:val="0"/>
          <w:color w:val="414042"/>
        </w:rPr>
      </w:sdtEndPr>
      <w:sdtContent>
        <w:r w:rsidR="00917BB0" w:rsidRPr="000E5257">
          <w:rPr>
            <w:rStyle w:val="Footer-page-numberChar"/>
          </w:rPr>
          <w:fldChar w:fldCharType="begin"/>
        </w:r>
        <w:r w:rsidR="00917BB0" w:rsidRPr="000E5257">
          <w:rPr>
            <w:rStyle w:val="Footer-page-numberChar"/>
          </w:rPr>
          <w:instrText xml:space="preserve"> PAGE   \* MERGEFORMAT </w:instrText>
        </w:r>
        <w:r w:rsidR="00917BB0" w:rsidRPr="000E5257">
          <w:rPr>
            <w:rStyle w:val="Footer-page-numberChar"/>
          </w:rPr>
          <w:fldChar w:fldCharType="separate"/>
        </w:r>
        <w:r w:rsidR="00917BB0" w:rsidRPr="000E5257">
          <w:rPr>
            <w:rStyle w:val="Footer-page-numberChar"/>
          </w:rPr>
          <w:t>1</w:t>
        </w:r>
        <w:r w:rsidR="00917BB0" w:rsidRPr="000E5257">
          <w:rPr>
            <w:rStyle w:val="Footer-page-numberChar"/>
          </w:rPr>
          <w:fldChar w:fldCharType="end"/>
        </w:r>
      </w:sdtContent>
    </w:sdt>
    <w:r w:rsidR="000E5257">
      <w:tab/>
    </w:r>
    <w:sdt>
      <w:sdtPr>
        <w:rPr>
          <w:rStyle w:val="FooterChar"/>
        </w:rPr>
        <w:alias w:val="Document title"/>
        <w:tag w:val="footer-title"/>
        <w:id w:val="1505014773"/>
        <w:lock w:val="sdtContentLocked"/>
      </w:sdtPr>
      <w:sdtContent>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"Title" </w:instrText>
        </w:r>
        <w:r w:rsidR="009A58DF">
          <w:rPr>
            <w:rStyle w:val="FooterChar"/>
          </w:rPr>
          <w:fldChar w:fldCharType="separate"/>
        </w:r>
        <w:r w:rsidR="002B08D8">
          <w:rPr>
            <w:rStyle w:val="FooterChar"/>
            <w:b/>
            <w:bCs/>
            <w:lang w:val="en-US"/>
          </w:rPr>
          <w:instrText>Error! No text of specified style in document.</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Pr>
            <w:rStyle w:val="FooterChar"/>
          </w:rPr>
          <w:instrText xml:space="preserve">" </w:instrText>
        </w:r>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"Heading 1" </w:instrText>
        </w:r>
        <w:r w:rsidR="009A58DF">
          <w:rPr>
            <w:rStyle w:val="FooterChar"/>
          </w:rPr>
          <w:fldChar w:fldCharType="separate"/>
        </w:r>
        <w:r w:rsidR="002B08D8">
          <w:rPr>
            <w:rStyle w:val="FooterChar"/>
          </w:rPr>
          <w:instrText>Cycling Opportunity: Model Methodology</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sidRPr="009A58DF">
          <w:rPr>
            <w:lang w:val="en-US"/>
          </w:rPr>
          <w:instrText>"</w:instrText>
        </w:r>
        <w:r w:rsidR="009A58DF">
          <w:rPr>
            <w:rStyle w:val="FooterChar"/>
          </w:rPr>
          <w:instrText xml:space="preserve"> </w:instrText>
        </w:r>
        <w:r w:rsidR="009A58DF">
          <w:rPr>
            <w:rStyle w:val="FooterChar"/>
          </w:rPr>
          <w:fldChar w:fldCharType="begin"/>
        </w:r>
        <w:r w:rsidR="009A58DF">
          <w:rPr>
            <w:rStyle w:val="FooterChar"/>
          </w:rPr>
          <w:instrText xml:space="preserve"> IF "</w:instrText>
        </w:r>
        <w:r w:rsidR="009A58DF">
          <w:rPr>
            <w:rStyle w:val="FooterChar"/>
          </w:rPr>
          <w:fldChar w:fldCharType="begin"/>
        </w:r>
        <w:r w:rsidR="009A58DF">
          <w:rPr>
            <w:rStyle w:val="FooterChar"/>
          </w:rPr>
          <w:instrText xml:space="preserve"> STYLEREF "H1 (no break)" </w:instrText>
        </w:r>
        <w:r w:rsidR="009A58DF">
          <w:rPr>
            <w:rStyle w:val="FooterChar"/>
          </w:rPr>
          <w:fldChar w:fldCharType="separate"/>
        </w:r>
        <w:r w:rsidR="005D5198">
          <w:rPr>
            <w:rStyle w:val="FooterChar"/>
            <w:b/>
            <w:bCs/>
            <w:lang w:val="en-US"/>
          </w:rPr>
          <w:instrText>Error! No text of specified style in document.</w:instrText>
        </w:r>
        <w:r w:rsidR="009A58DF">
          <w:rPr>
            <w:rStyle w:val="FooterChar"/>
          </w:rPr>
          <w:fldChar w:fldCharType="end"/>
        </w:r>
        <w:r w:rsidR="009A58DF">
          <w:rPr>
            <w:rStyle w:val="FooterChar"/>
          </w:rPr>
          <w:instrText>" = "</w:instrText>
        </w:r>
        <w:r w:rsidR="009A58DF" w:rsidRPr="009A58DF">
          <w:rPr>
            <w:b/>
            <w:bCs/>
            <w:lang w:val="en-US"/>
          </w:rPr>
          <w:instrText>Error! No text of specified style in document.</w:instrText>
        </w:r>
        <w:r w:rsidR="009A58DF">
          <w:rPr>
            <w:rStyle w:val="FooterChar"/>
          </w:rPr>
          <w:instrText xml:space="preserve">" "" </w:instrText>
        </w:r>
        <w:r w:rsidR="009A58DF">
          <w:rPr>
            <w:rStyle w:val="FooterChar"/>
          </w:rPr>
          <w:fldChar w:fldCharType="begin"/>
        </w:r>
        <w:r w:rsidR="009A58DF">
          <w:rPr>
            <w:rStyle w:val="FooterChar"/>
          </w:rPr>
          <w:instrText xml:space="preserve"> STY</w:instrText>
        </w:r>
        <w:r w:rsidR="00F479AA">
          <w:rPr>
            <w:rStyle w:val="FooterChar"/>
          </w:rPr>
          <w:instrText>L</w:instrText>
        </w:r>
        <w:r w:rsidR="009A58DF">
          <w:rPr>
            <w:rStyle w:val="FooterChar"/>
          </w:rPr>
          <w:instrText xml:space="preserve">EREF "H1 (no break)" </w:instrText>
        </w:r>
        <w:r w:rsidR="009A58DF">
          <w:rPr>
            <w:rStyle w:val="FooterChar"/>
          </w:rPr>
          <w:fldChar w:fldCharType="end"/>
        </w:r>
        <w:r w:rsidR="009A58DF">
          <w:rPr>
            <w:rStyle w:val="FooterChar"/>
          </w:rPr>
          <w:instrText xml:space="preserve"> </w:instrText>
        </w:r>
        <w:r w:rsidR="009A58DF">
          <w:rPr>
            <w:rStyle w:val="FooterChar"/>
          </w:rPr>
          <w:fldChar w:fldCharType="end"/>
        </w:r>
        <w:r w:rsidR="009A58DF">
          <w:rPr>
            <w:rStyle w:val="FooterChar"/>
          </w:rPr>
          <w:instrText xml:space="preserve"> </w:instrText>
        </w:r>
        <w:r w:rsidR="009A58DF">
          <w:rPr>
            <w:rStyle w:val="FooterChar"/>
          </w:rPr>
          <w:fldChar w:fldCharType="begin"/>
        </w:r>
        <w:r w:rsidR="009A58DF">
          <w:rPr>
            <w:rStyle w:val="FooterChar"/>
          </w:rPr>
          <w:instrText xml:space="preserve"> STYLEREF "Heading 1" </w:instrText>
        </w:r>
        <w:r w:rsidR="009A58DF">
          <w:rPr>
            <w:rStyle w:val="FooterChar"/>
          </w:rPr>
          <w:fldChar w:fldCharType="separate"/>
        </w:r>
        <w:r w:rsidR="002B08D8">
          <w:rPr>
            <w:rStyle w:val="FooterChar"/>
          </w:rPr>
          <w:instrText>Cycling Opportunity: Model Methodology</w:instrText>
        </w:r>
        <w:r w:rsidR="009A58DF">
          <w:rPr>
            <w:rStyle w:val="FooterChar"/>
          </w:rPr>
          <w:fldChar w:fldCharType="end"/>
        </w:r>
        <w:r w:rsidR="009A58DF">
          <w:rPr>
            <w:rStyle w:val="FooterChar"/>
          </w:rPr>
          <w:instrText xml:space="preserve"> </w:instrText>
        </w:r>
        <w:r w:rsidR="009A58DF">
          <w:rPr>
            <w:rStyle w:val="FooterChar"/>
          </w:rPr>
          <w:fldChar w:fldCharType="separate"/>
        </w:r>
        <w:r w:rsidR="002B08D8">
          <w:rPr>
            <w:rStyle w:val="FooterChar"/>
          </w:rPr>
          <w:instrText>Cycling Opportunity: Model Methodology</w:instrText>
        </w:r>
        <w:r w:rsidR="009A58DF">
          <w:rPr>
            <w:rStyle w:val="FooterChar"/>
          </w:rPr>
          <w:fldChar w:fldCharType="end"/>
        </w:r>
        <w:r w:rsidR="009A58DF">
          <w:rPr>
            <w:rStyle w:val="FooterChar"/>
          </w:rPr>
          <w:instrText xml:space="preserve"> </w:instrText>
        </w:r>
        <w:r w:rsidR="009A58DF">
          <w:rPr>
            <w:rStyle w:val="FooterChar"/>
          </w:rPr>
          <w:fldChar w:fldCharType="begin"/>
        </w:r>
        <w:r w:rsidR="009A58DF">
          <w:rPr>
            <w:rStyle w:val="FooterChar"/>
          </w:rPr>
          <w:instrText xml:space="preserve"> STYLEREF "Title" </w:instrText>
        </w:r>
        <w:r w:rsidR="009A58DF">
          <w:rPr>
            <w:rStyle w:val="FooterChar"/>
          </w:rPr>
          <w:fldChar w:fldCharType="separate"/>
        </w:r>
        <w:r w:rsidR="00E3736D">
          <w:rPr>
            <w:rStyle w:val="FooterChar"/>
          </w:rPr>
          <w:instrText>Enter a title</w:instrText>
        </w:r>
        <w:r w:rsidR="009A58DF">
          <w:rPr>
            <w:rStyle w:val="FooterChar"/>
          </w:rPr>
          <w:fldChar w:fldCharType="end"/>
        </w:r>
        <w:r w:rsidR="009A58DF">
          <w:rPr>
            <w:rStyle w:val="FooterChar"/>
          </w:rPr>
          <w:instrText xml:space="preserve"> </w:instrText>
        </w:r>
        <w:r w:rsidR="009A58DF">
          <w:rPr>
            <w:rStyle w:val="FooterChar"/>
          </w:rPr>
          <w:fldChar w:fldCharType="separate"/>
        </w:r>
        <w:r w:rsidR="002B08D8">
          <w:rPr>
            <w:rStyle w:val="FooterChar"/>
          </w:rPr>
          <w:t>Cycling Opportunity: Model Methodology</w:t>
        </w:r>
        <w:r w:rsidR="009A58DF">
          <w:rPr>
            <w:rStyle w:val="FooterChar"/>
          </w:rPr>
          <w:fldChar w:fldCharType="end"/>
        </w:r>
      </w:sdtContent>
    </w:sdt>
    <w:r w:rsidR="0005500E">
      <w:rPr>
        <w:b/>
        <w:color w:val="253773"/>
      </w:rPr>
      <w:drawing>
        <wp:anchor distT="0" distB="0" distL="114300" distR="114300" simplePos="0" relativeHeight="251658240" behindDoc="1" locked="0" layoutInCell="1" allowOverlap="1" wp14:anchorId="0726FD21" wp14:editId="7DC9967A">
          <wp:simplePos x="0" y="0"/>
          <wp:positionH relativeFrom="column">
            <wp:posOffset>4176395</wp:posOffset>
          </wp:positionH>
          <wp:positionV relativeFrom="line">
            <wp:align>bottom</wp:align>
          </wp:positionV>
          <wp:extent cx="1263600" cy="507600"/>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59E5" w14:textId="77777777" w:rsidR="00F33E8A" w:rsidRPr="00A23EC7" w:rsidRDefault="00F33E8A">
      <w:pPr>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A563BED" w14:textId="77777777" w:rsidR="00F33E8A" w:rsidRDefault="00F33E8A" w:rsidP="0089381F">
      <w:r>
        <w:continuationSeparator/>
      </w:r>
    </w:p>
    <w:p w14:paraId="5945F1F3" w14:textId="77777777" w:rsidR="00F33E8A" w:rsidRDefault="00F33E8A"/>
  </w:footnote>
  <w:footnote w:type="continuationNotice" w:id="1">
    <w:p w14:paraId="58E2DB2B" w14:textId="77777777" w:rsidR="00F33E8A" w:rsidRDefault="00F33E8A">
      <w:pPr>
        <w:spacing w:after="0" w:line="240" w:lineRule="auto"/>
      </w:pPr>
    </w:p>
  </w:footnote>
  <w:footnote w:id="2">
    <w:p w14:paraId="1395ED87" w14:textId="7D82CDFE" w:rsidR="003257E5" w:rsidRDefault="003257E5">
      <w:pPr>
        <w:pStyle w:val="FootnoteText"/>
      </w:pPr>
      <w:r>
        <w:rPr>
          <w:rStyle w:val="FootnoteReference"/>
        </w:rPr>
        <w:footnoteRef/>
      </w:r>
      <w:r>
        <w:t xml:space="preserve"> </w:t>
      </w:r>
      <w:r w:rsidR="005A6B70">
        <w:t>This is based on the UK level population, but the</w:t>
      </w:r>
      <w:r>
        <w:t xml:space="preserve"> </w:t>
      </w:r>
      <w:r w:rsidR="0093700F">
        <w:t xml:space="preserve">relevant </w:t>
      </w:r>
      <w:r>
        <w:t>population size can b</w:t>
      </w:r>
      <w:r w:rsidR="0093700F">
        <w:t>e changed by the user</w:t>
      </w:r>
      <w:r w:rsidR="005A6B70">
        <w:t xml:space="preserve"> in the model.</w:t>
      </w:r>
    </w:p>
  </w:footnote>
  <w:footnote w:id="3">
    <w:p w14:paraId="669EF6CE" w14:textId="5C5684E7" w:rsidR="00362458" w:rsidRDefault="00362458">
      <w:pPr>
        <w:pStyle w:val="FootnoteText"/>
      </w:pPr>
      <w:r>
        <w:rPr>
          <w:rStyle w:val="FootnoteReference"/>
        </w:rPr>
        <w:footnoteRef/>
      </w:r>
      <w:r>
        <w:t xml:space="preserve"> </w:t>
      </w:r>
      <w:r w:rsidR="00D43C50">
        <w:t>Number of working days minus annual leave and sickness absence</w:t>
      </w:r>
    </w:p>
  </w:footnote>
  <w:footnote w:id="4">
    <w:p w14:paraId="507C0D60" w14:textId="6FD3C409" w:rsidR="008829BC" w:rsidRDefault="008829BC">
      <w:pPr>
        <w:pStyle w:val="FootnoteText"/>
      </w:pPr>
      <w:r>
        <w:rPr>
          <w:rStyle w:val="FootnoteReference"/>
        </w:rPr>
        <w:footnoteRef/>
      </w:r>
      <w:r>
        <w:t xml:space="preserve"> See </w:t>
      </w:r>
      <w:hyperlink r:id="rId1" w:history="1">
        <w:r w:rsidRPr="00AF7DCE">
          <w:rPr>
            <w:rStyle w:val="Hyperlink"/>
          </w:rPr>
          <w:t>https://www.sustrans.org.uk/the-walking-and-cycling-index</w:t>
        </w:r>
      </w:hyperlink>
      <w: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20"/>
      <w:gridCol w:w="2620"/>
      <w:gridCol w:w="2620"/>
    </w:tblGrid>
    <w:tr w:rsidR="6C86D005" w14:paraId="0E9733BA" w14:textId="77777777" w:rsidTr="00977AF7">
      <w:trPr>
        <w:trHeight w:val="300"/>
      </w:trPr>
      <w:tc>
        <w:tcPr>
          <w:tcW w:w="2620" w:type="dxa"/>
        </w:tcPr>
        <w:p w14:paraId="13248ED9" w14:textId="6E787DE7" w:rsidR="6C86D005" w:rsidRDefault="6C86D005" w:rsidP="00A15D9A">
          <w:pPr>
            <w:pStyle w:val="Header"/>
            <w:ind w:left="-115"/>
          </w:pPr>
        </w:p>
      </w:tc>
      <w:tc>
        <w:tcPr>
          <w:tcW w:w="2620" w:type="dxa"/>
        </w:tcPr>
        <w:p w14:paraId="16AB7D87" w14:textId="20E16F1C" w:rsidR="6C86D005" w:rsidRDefault="6C86D005" w:rsidP="00A15D9A">
          <w:pPr>
            <w:pStyle w:val="Header"/>
            <w:jc w:val="center"/>
          </w:pPr>
        </w:p>
      </w:tc>
      <w:tc>
        <w:tcPr>
          <w:tcW w:w="2620" w:type="dxa"/>
        </w:tcPr>
        <w:p w14:paraId="7402140B" w14:textId="713E70A8" w:rsidR="6C86D005" w:rsidRDefault="6C86D005" w:rsidP="00A15D9A">
          <w:pPr>
            <w:pStyle w:val="Header"/>
            <w:ind w:right="-115"/>
            <w:jc w:val="right"/>
          </w:pPr>
        </w:p>
      </w:tc>
    </w:tr>
  </w:tbl>
  <w:p w14:paraId="2540072E" w14:textId="79F6733C" w:rsidR="6C86D005" w:rsidRDefault="6C86D005" w:rsidP="00977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7532" w14:textId="77777777" w:rsidR="00330D9E" w:rsidRDefault="00000000">
    <w:pPr>
      <w:pStyle w:val="Header"/>
    </w:pPr>
    <w:sdt>
      <w:sdtPr>
        <w:alias w:val="Page background"/>
        <w:tag w:val="page-bg"/>
        <w:id w:val="-855497852"/>
        <w:lock w:val="contentLocked"/>
        <w:docPartList>
          <w:docPartGallery w:val="Quick Parts"/>
          <w:docPartCategory w:val="Sustrans template elements"/>
        </w:docPartList>
      </w:sdtPr>
      <w:sdtContent>
        <w:r w:rsidR="00C10706">
          <w:rPr>
            <w:noProof/>
          </w:rPr>
          <mc:AlternateContent>
            <mc:Choice Requires="wps">
              <w:drawing>
                <wp:anchor distT="0" distB="0" distL="114300" distR="114300" simplePos="0" relativeHeight="251658241" behindDoc="1" locked="0" layoutInCell="1" allowOverlap="1" wp14:anchorId="399ECF11" wp14:editId="1C7A85B0">
                  <wp:simplePos x="3264195" y="3965944"/>
                  <wp:positionH relativeFrom="page">
                    <wp:align>left</wp:align>
                  </wp:positionH>
                  <wp:positionV relativeFrom="page">
                    <wp:align>top</wp:align>
                  </wp:positionV>
                  <wp:extent cx="7560000" cy="10692000"/>
                  <wp:effectExtent l="0" t="0" r="3175" b="0"/>
                  <wp:wrapNone/>
                  <wp:docPr id="2109623729" name="Rectangle 2109623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7FD2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v:rect id="Rectangle 2109623729" style="position:absolute;margin-left:0;margin-top:0;width:595.3pt;height:841.9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7fd2ea" stroked="f" strokeweight="1pt" w14:anchorId="667ED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">
                  <w10:wrap anchorx="page" anchory="page"/>
                </v:rect>
              </w:pict>
            </mc:Fallback>
          </mc:AlternateContent>
        </w:r>
      </w:sdtContent>
    </w:sdt>
    <w:r w:rsidR="00C10706" w:rsidRPr="00C10706">
      <w:t xml:space="preserve"> </w:t>
    </w:r>
    <w:sdt>
      <w:sdtPr>
        <w:alias w:val="Side bar"/>
        <w:tag w:val="side-bar"/>
        <w:id w:val="-1045056336"/>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68"/>
          <w:szCs w:val="32"/>
        </w:rPr>
      </w:sdtEndPr>
      <w:sdtContent>
        <w:r w:rsidR="00C10706" w:rsidRPr="00C10706">
          <w:rPr>
            <w:rStyle w:val="Heading1Char"/>
            <w:noProof/>
          </w:rPr>
          <mc:AlternateContent>
            <mc:Choice Requires="wps">
              <w:drawing>
                <wp:anchor distT="0" distB="0" distL="114300" distR="114300" simplePos="0" relativeHeight="251658242" behindDoc="1" locked="0" layoutInCell="1" allowOverlap="1" wp14:anchorId="2367617E" wp14:editId="5013ED39">
                  <wp:simplePos x="1892595" y="3094074"/>
                  <wp:positionH relativeFrom="page">
                    <wp:align>left</wp:align>
                  </wp:positionH>
                  <wp:positionV relativeFrom="page">
                    <wp:align>top</wp:align>
                  </wp:positionV>
                  <wp:extent cx="640800" cy="10692000"/>
                  <wp:effectExtent l="0" t="0" r="6985" b="0"/>
                  <wp:wrapNone/>
                  <wp:docPr id="1986772699" name="Rectangle 1986772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v:rect id="Rectangle 1986772699" style="position:absolute;margin-left:0;margin-top:0;width:50.45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alt="&quot;&quot;" o:spid="_x0000_s1026" fillcolor="#0d0086" stroked="f" strokeweight="1pt" w14:anchorId="079D6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">
                  <w10:wrap anchorx="page" anchory="page"/>
                </v:rect>
              </w:pict>
            </mc:Fallback>
          </mc:AlternateContent>
        </w:r>
      </w:sdtContent>
    </w:sdt>
    <w:r w:rsidR="00C10706">
      <w:rPr>
        <w:rStyle w:val="Heading1Char"/>
      </w:rPr>
      <w:t xml:space="preserve"> </w:t>
    </w:r>
    <w:sdt>
      <w:sdtPr>
        <w:rPr>
          <w:rStyle w:val="Heading1Char"/>
        </w:rPr>
        <w:alias w:val="Cover logo"/>
        <w:tag w:val="logo1"/>
        <w:id w:val="-183824800"/>
        <w:lock w:val="contentLocked"/>
        <w:showingPlcHdr/>
        <w:picture/>
      </w:sdtPr>
      <w:sdtContent>
        <w:r w:rsidR="00606944">
          <w:rPr>
            <w:rStyle w:val="Heading1Char"/>
            <w:noProof/>
          </w:rPr>
          <w:drawing>
            <wp:anchor distT="0" distB="0" distL="114300" distR="114300" simplePos="0" relativeHeight="251658243" behindDoc="1" locked="1" layoutInCell="1" allowOverlap="1" wp14:anchorId="2780845E" wp14:editId="0862C9C4">
              <wp:simplePos x="0" y="0"/>
              <wp:positionH relativeFrom="page">
                <wp:posOffset>5670550</wp:posOffset>
              </wp:positionH>
              <wp:positionV relativeFrom="page">
                <wp:posOffset>9451340</wp:posOffset>
              </wp:positionV>
              <wp:extent cx="1407600" cy="666000"/>
              <wp:effectExtent l="0" t="0" r="254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intelligence2.xml><?xml version="1.0" encoding="utf-8"?>
<int2:intelligence xmlns:int2="http://schemas.microsoft.com/office/intelligence/2020/intelligence" xmlns:oel="http://schemas.microsoft.com/office/2019/extlst">
  <int2:observations>
    <int2:textHash int2:hashCode="zaofNsipfNTNg6" int2:id="fCrZWTr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1"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2"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3"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42826"/>
    <w:multiLevelType w:val="hybridMultilevel"/>
    <w:tmpl w:val="2378022E"/>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F56E0F"/>
    <w:multiLevelType w:val="hybridMultilevel"/>
    <w:tmpl w:val="9FCE397E"/>
    <w:lvl w:ilvl="0" w:tplc="219A70FC">
      <w:numFmt w:val="bullet"/>
      <w:lvlText w:val="-"/>
      <w:lvlJc w:val="left"/>
      <w:pPr>
        <w:ind w:left="720" w:hanging="360"/>
      </w:pPr>
      <w:rPr>
        <w:rFonts w:ascii="Arial" w:eastAsiaTheme="minorHAns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62CC5"/>
    <w:multiLevelType w:val="hybridMultilevel"/>
    <w:tmpl w:val="9B98B280"/>
    <w:lvl w:ilvl="0" w:tplc="609A6B4A">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A77F6"/>
    <w:multiLevelType w:val="hybridMultilevel"/>
    <w:tmpl w:val="A25E9E76"/>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8E6F81"/>
    <w:multiLevelType w:val="hybridMultilevel"/>
    <w:tmpl w:val="DBD4D1A4"/>
    <w:lvl w:ilvl="0" w:tplc="219A70FC">
      <w:numFmt w:val="bullet"/>
      <w:lvlText w:val="-"/>
      <w:lvlJc w:val="left"/>
      <w:pPr>
        <w:ind w:left="720" w:hanging="360"/>
      </w:pPr>
      <w:rPr>
        <w:rFonts w:ascii="Arial" w:eastAsiaTheme="minorHAns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5D3599"/>
    <w:multiLevelType w:val="hybridMultilevel"/>
    <w:tmpl w:val="6E2E451E"/>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8FA6813"/>
    <w:multiLevelType w:val="hybridMultilevel"/>
    <w:tmpl w:val="EB302C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A71F4"/>
    <w:multiLevelType w:val="hybridMultilevel"/>
    <w:tmpl w:val="49F0F00C"/>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D83BD5"/>
    <w:multiLevelType w:val="hybridMultilevel"/>
    <w:tmpl w:val="A9CA5152"/>
    <w:lvl w:ilvl="0" w:tplc="695A1AE8">
      <w:start w:val="1"/>
      <w:numFmt w:val="bullet"/>
      <w:pStyle w:val="Bullist"/>
      <w:lvlText w:val=""/>
      <w:lvlJc w:val="left"/>
      <w:pPr>
        <w:ind w:left="720" w:hanging="360"/>
      </w:pPr>
      <w:rPr>
        <w:rFonts w:ascii="Symbol" w:hAnsi="Symbol" w:hint="default"/>
        <w:b/>
        <w:i w:val="0"/>
        <w:color w:val="922C6F"/>
      </w:rPr>
    </w:lvl>
    <w:lvl w:ilvl="1" w:tplc="258E0058">
      <w:start w:val="1"/>
      <w:numFmt w:val="bullet"/>
      <w:lvlText w:val="o"/>
      <w:lvlJc w:val="left"/>
      <w:pPr>
        <w:ind w:left="1440" w:hanging="360"/>
      </w:pPr>
      <w:rPr>
        <w:rFonts w:ascii="Courier New" w:hAnsi="Courier New" w:cs="Courier New" w:hint="default"/>
        <w:b/>
        <w:bCs/>
        <w:color w:val="922C6F"/>
      </w:rPr>
    </w:lvl>
    <w:lvl w:ilvl="2" w:tplc="EB98C22A">
      <w:start w:val="1"/>
      <w:numFmt w:val="bullet"/>
      <w:lvlText w:val=""/>
      <w:lvlJc w:val="left"/>
      <w:pPr>
        <w:ind w:left="2340" w:hanging="360"/>
      </w:pPr>
      <w:rPr>
        <w:rFonts w:ascii="Wingdings" w:hAnsi="Wingdings" w:hint="default"/>
        <w:color w:val="922C6F"/>
      </w:rPr>
    </w:lvl>
    <w:lvl w:ilvl="3" w:tplc="2440FFE0">
      <w:start w:val="1"/>
      <w:numFmt w:val="bullet"/>
      <w:lvlText w:val=""/>
      <w:lvlJc w:val="left"/>
      <w:pPr>
        <w:ind w:left="2880" w:hanging="360"/>
      </w:pPr>
      <w:rPr>
        <w:rFonts w:ascii="Symbol" w:hAnsi="Symbol" w:hint="default"/>
        <w:color w:val="922C6F"/>
      </w:rPr>
    </w:lvl>
    <w:lvl w:ilvl="4" w:tplc="FE521BE2">
      <w:start w:val="1"/>
      <w:numFmt w:val="bullet"/>
      <w:lvlText w:val="o"/>
      <w:lvlJc w:val="left"/>
      <w:pPr>
        <w:ind w:left="3600" w:hanging="360"/>
      </w:pPr>
      <w:rPr>
        <w:rFonts w:ascii="Courier New" w:hAnsi="Courier New" w:cs="Courier New" w:hint="default"/>
        <w:color w:val="922C6F"/>
      </w:rPr>
    </w:lvl>
    <w:lvl w:ilvl="5" w:tplc="73BC4D00">
      <w:start w:val="1"/>
      <w:numFmt w:val="bullet"/>
      <w:lvlText w:val=""/>
      <w:lvlJc w:val="left"/>
      <w:pPr>
        <w:ind w:left="4500" w:hanging="360"/>
      </w:pPr>
      <w:rPr>
        <w:rFonts w:ascii="Wingdings" w:hAnsi="Wingdings" w:hint="default"/>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F37C0C"/>
    <w:multiLevelType w:val="hybridMultilevel"/>
    <w:tmpl w:val="DE8C3928"/>
    <w:lvl w:ilvl="0" w:tplc="219A70F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66018"/>
    <w:multiLevelType w:val="hybridMultilevel"/>
    <w:tmpl w:val="18862F20"/>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FC46F2"/>
    <w:multiLevelType w:val="hybridMultilevel"/>
    <w:tmpl w:val="E12619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7F6756"/>
    <w:multiLevelType w:val="hybridMultilevel"/>
    <w:tmpl w:val="1D1620AC"/>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A271C47"/>
    <w:multiLevelType w:val="hybridMultilevel"/>
    <w:tmpl w:val="FB1CFC02"/>
    <w:lvl w:ilvl="0" w:tplc="3484233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0F27B7"/>
    <w:multiLevelType w:val="hybridMultilevel"/>
    <w:tmpl w:val="7066878C"/>
    <w:lvl w:ilvl="0" w:tplc="219A70FC">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8466190">
    <w:abstractNumId w:val="19"/>
  </w:num>
  <w:num w:numId="2" w16cid:durableId="664207505">
    <w:abstractNumId w:val="13"/>
  </w:num>
  <w:num w:numId="3" w16cid:durableId="744062213">
    <w:abstractNumId w:val="3"/>
  </w:num>
  <w:num w:numId="4" w16cid:durableId="1992319598">
    <w:abstractNumId w:val="17"/>
  </w:num>
  <w:num w:numId="5" w16cid:durableId="1573420017">
    <w:abstractNumId w:val="4"/>
  </w:num>
  <w:num w:numId="6" w16cid:durableId="429474746">
    <w:abstractNumId w:val="2"/>
  </w:num>
  <w:num w:numId="7" w16cid:durableId="1483277134">
    <w:abstractNumId w:val="1"/>
  </w:num>
  <w:num w:numId="8" w16cid:durableId="1190337889">
    <w:abstractNumId w:val="0"/>
  </w:num>
  <w:num w:numId="9" w16cid:durableId="999887362">
    <w:abstractNumId w:val="14"/>
  </w:num>
  <w:num w:numId="10" w16cid:durableId="1741708808">
    <w:abstractNumId w:val="7"/>
  </w:num>
  <w:num w:numId="11" w16cid:durableId="2076120658">
    <w:abstractNumId w:val="11"/>
  </w:num>
  <w:num w:numId="12" w16cid:durableId="1610238672">
    <w:abstractNumId w:val="16"/>
  </w:num>
  <w:num w:numId="13" w16cid:durableId="1889801364">
    <w:abstractNumId w:val="12"/>
  </w:num>
  <w:num w:numId="14" w16cid:durableId="2048598975">
    <w:abstractNumId w:val="5"/>
  </w:num>
  <w:num w:numId="15" w16cid:durableId="1236552883">
    <w:abstractNumId w:val="20"/>
  </w:num>
  <w:num w:numId="16" w16cid:durableId="1025442829">
    <w:abstractNumId w:val="15"/>
  </w:num>
  <w:num w:numId="17" w16cid:durableId="1520393190">
    <w:abstractNumId w:val="8"/>
  </w:num>
  <w:num w:numId="18" w16cid:durableId="1903632984">
    <w:abstractNumId w:val="10"/>
  </w:num>
  <w:num w:numId="19" w16cid:durableId="578753019">
    <w:abstractNumId w:val="18"/>
  </w:num>
  <w:num w:numId="20" w16cid:durableId="89592260">
    <w:abstractNumId w:val="6"/>
  </w:num>
  <w:num w:numId="21" w16cid:durableId="2132028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58"/>
    <w:rsid w:val="00004863"/>
    <w:rsid w:val="00006651"/>
    <w:rsid w:val="00006A11"/>
    <w:rsid w:val="00006ECE"/>
    <w:rsid w:val="0000785B"/>
    <w:rsid w:val="00011A81"/>
    <w:rsid w:val="00012063"/>
    <w:rsid w:val="00013D20"/>
    <w:rsid w:val="00017855"/>
    <w:rsid w:val="00021005"/>
    <w:rsid w:val="0002227D"/>
    <w:rsid w:val="00024B65"/>
    <w:rsid w:val="000260C3"/>
    <w:rsid w:val="000301AC"/>
    <w:rsid w:val="00034D08"/>
    <w:rsid w:val="00035029"/>
    <w:rsid w:val="00036EEB"/>
    <w:rsid w:val="000377DD"/>
    <w:rsid w:val="00037B1B"/>
    <w:rsid w:val="000411C0"/>
    <w:rsid w:val="000420EB"/>
    <w:rsid w:val="00042B7C"/>
    <w:rsid w:val="00042C1D"/>
    <w:rsid w:val="000444DD"/>
    <w:rsid w:val="00044B04"/>
    <w:rsid w:val="00047840"/>
    <w:rsid w:val="00051387"/>
    <w:rsid w:val="00052657"/>
    <w:rsid w:val="0005285C"/>
    <w:rsid w:val="0005500E"/>
    <w:rsid w:val="00055804"/>
    <w:rsid w:val="0005605A"/>
    <w:rsid w:val="00057452"/>
    <w:rsid w:val="0006003C"/>
    <w:rsid w:val="00062FD1"/>
    <w:rsid w:val="0006390F"/>
    <w:rsid w:val="00064279"/>
    <w:rsid w:val="00064B61"/>
    <w:rsid w:val="00067083"/>
    <w:rsid w:val="0007098D"/>
    <w:rsid w:val="00071D6A"/>
    <w:rsid w:val="00071EC1"/>
    <w:rsid w:val="00073066"/>
    <w:rsid w:val="000741E3"/>
    <w:rsid w:val="000742F6"/>
    <w:rsid w:val="00074D4C"/>
    <w:rsid w:val="00074E43"/>
    <w:rsid w:val="00075DDB"/>
    <w:rsid w:val="00076E1E"/>
    <w:rsid w:val="0007745E"/>
    <w:rsid w:val="0007789D"/>
    <w:rsid w:val="000802B2"/>
    <w:rsid w:val="00080F7F"/>
    <w:rsid w:val="00081122"/>
    <w:rsid w:val="00081836"/>
    <w:rsid w:val="00085083"/>
    <w:rsid w:val="000857A1"/>
    <w:rsid w:val="00085B15"/>
    <w:rsid w:val="00086F75"/>
    <w:rsid w:val="000902FB"/>
    <w:rsid w:val="000967EC"/>
    <w:rsid w:val="000A0A1D"/>
    <w:rsid w:val="000A0BD2"/>
    <w:rsid w:val="000A19F1"/>
    <w:rsid w:val="000A44D2"/>
    <w:rsid w:val="000A46F9"/>
    <w:rsid w:val="000A7D5B"/>
    <w:rsid w:val="000B025D"/>
    <w:rsid w:val="000B6BC5"/>
    <w:rsid w:val="000B7514"/>
    <w:rsid w:val="000B7889"/>
    <w:rsid w:val="000B7B14"/>
    <w:rsid w:val="000B7C0A"/>
    <w:rsid w:val="000C086F"/>
    <w:rsid w:val="000C1551"/>
    <w:rsid w:val="000C4070"/>
    <w:rsid w:val="000C5934"/>
    <w:rsid w:val="000C5F1C"/>
    <w:rsid w:val="000D0B71"/>
    <w:rsid w:val="000D15AA"/>
    <w:rsid w:val="000D3F16"/>
    <w:rsid w:val="000D68C7"/>
    <w:rsid w:val="000E0884"/>
    <w:rsid w:val="000E36CE"/>
    <w:rsid w:val="000E36E0"/>
    <w:rsid w:val="000E373C"/>
    <w:rsid w:val="000E5257"/>
    <w:rsid w:val="000E5DFB"/>
    <w:rsid w:val="000E5E1C"/>
    <w:rsid w:val="000F0778"/>
    <w:rsid w:val="000F09DD"/>
    <w:rsid w:val="000F2E35"/>
    <w:rsid w:val="000F5ED3"/>
    <w:rsid w:val="000F7E5B"/>
    <w:rsid w:val="00101369"/>
    <w:rsid w:val="00102288"/>
    <w:rsid w:val="00102932"/>
    <w:rsid w:val="00104A21"/>
    <w:rsid w:val="00105F87"/>
    <w:rsid w:val="00106B26"/>
    <w:rsid w:val="001076AD"/>
    <w:rsid w:val="00107C90"/>
    <w:rsid w:val="00111690"/>
    <w:rsid w:val="001116DD"/>
    <w:rsid w:val="00112322"/>
    <w:rsid w:val="00114B8B"/>
    <w:rsid w:val="001154BA"/>
    <w:rsid w:val="00115A47"/>
    <w:rsid w:val="00115FA4"/>
    <w:rsid w:val="001169EF"/>
    <w:rsid w:val="001178F9"/>
    <w:rsid w:val="00122160"/>
    <w:rsid w:val="00123633"/>
    <w:rsid w:val="00133036"/>
    <w:rsid w:val="00133398"/>
    <w:rsid w:val="001334B9"/>
    <w:rsid w:val="00133854"/>
    <w:rsid w:val="001339D9"/>
    <w:rsid w:val="001341F6"/>
    <w:rsid w:val="00134931"/>
    <w:rsid w:val="00134BEC"/>
    <w:rsid w:val="00135B6A"/>
    <w:rsid w:val="0014090B"/>
    <w:rsid w:val="00141FA0"/>
    <w:rsid w:val="0014315D"/>
    <w:rsid w:val="001447CB"/>
    <w:rsid w:val="001454BA"/>
    <w:rsid w:val="0015053E"/>
    <w:rsid w:val="001506ED"/>
    <w:rsid w:val="00151D04"/>
    <w:rsid w:val="00151E81"/>
    <w:rsid w:val="00152445"/>
    <w:rsid w:val="00152D4B"/>
    <w:rsid w:val="00154069"/>
    <w:rsid w:val="00161FC9"/>
    <w:rsid w:val="00162590"/>
    <w:rsid w:val="00162913"/>
    <w:rsid w:val="00170954"/>
    <w:rsid w:val="00172E73"/>
    <w:rsid w:val="00173D4E"/>
    <w:rsid w:val="00175FCC"/>
    <w:rsid w:val="0017678D"/>
    <w:rsid w:val="001779CB"/>
    <w:rsid w:val="00180827"/>
    <w:rsid w:val="0018165B"/>
    <w:rsid w:val="001848B1"/>
    <w:rsid w:val="00184A31"/>
    <w:rsid w:val="0018778D"/>
    <w:rsid w:val="00187B2F"/>
    <w:rsid w:val="00192C99"/>
    <w:rsid w:val="00194488"/>
    <w:rsid w:val="00195A73"/>
    <w:rsid w:val="0019686E"/>
    <w:rsid w:val="00197F81"/>
    <w:rsid w:val="001A13B8"/>
    <w:rsid w:val="001A2555"/>
    <w:rsid w:val="001A4EA3"/>
    <w:rsid w:val="001A4FCD"/>
    <w:rsid w:val="001B166C"/>
    <w:rsid w:val="001C2192"/>
    <w:rsid w:val="001C2C1A"/>
    <w:rsid w:val="001C3AC6"/>
    <w:rsid w:val="001C3BFE"/>
    <w:rsid w:val="001C63D0"/>
    <w:rsid w:val="001C7156"/>
    <w:rsid w:val="001C7EF4"/>
    <w:rsid w:val="001D01DC"/>
    <w:rsid w:val="001D1091"/>
    <w:rsid w:val="001D2352"/>
    <w:rsid w:val="001D2957"/>
    <w:rsid w:val="001D3C4C"/>
    <w:rsid w:val="001D49FC"/>
    <w:rsid w:val="001D50AA"/>
    <w:rsid w:val="001D7E1B"/>
    <w:rsid w:val="001E0B3C"/>
    <w:rsid w:val="001E0EE7"/>
    <w:rsid w:val="001E13BB"/>
    <w:rsid w:val="001E23C3"/>
    <w:rsid w:val="001E46A4"/>
    <w:rsid w:val="001E5F0B"/>
    <w:rsid w:val="001E66DC"/>
    <w:rsid w:val="001F172D"/>
    <w:rsid w:val="001F1B1C"/>
    <w:rsid w:val="001F1E6F"/>
    <w:rsid w:val="001F2712"/>
    <w:rsid w:val="001F36EF"/>
    <w:rsid w:val="001F42E2"/>
    <w:rsid w:val="001F43BA"/>
    <w:rsid w:val="001F73B4"/>
    <w:rsid w:val="001F7A68"/>
    <w:rsid w:val="00205CF6"/>
    <w:rsid w:val="00207233"/>
    <w:rsid w:val="00207C96"/>
    <w:rsid w:val="00207F41"/>
    <w:rsid w:val="002128DF"/>
    <w:rsid w:val="00212A8C"/>
    <w:rsid w:val="00213420"/>
    <w:rsid w:val="00214A5F"/>
    <w:rsid w:val="00214E0F"/>
    <w:rsid w:val="00216D5C"/>
    <w:rsid w:val="0021707A"/>
    <w:rsid w:val="002216FB"/>
    <w:rsid w:val="00221894"/>
    <w:rsid w:val="00222C13"/>
    <w:rsid w:val="00222CED"/>
    <w:rsid w:val="00223E2A"/>
    <w:rsid w:val="00226F8E"/>
    <w:rsid w:val="00230E53"/>
    <w:rsid w:val="00231B9C"/>
    <w:rsid w:val="00233918"/>
    <w:rsid w:val="00235D52"/>
    <w:rsid w:val="00237B4E"/>
    <w:rsid w:val="002407D7"/>
    <w:rsid w:val="00240B3E"/>
    <w:rsid w:val="00245B26"/>
    <w:rsid w:val="002475D8"/>
    <w:rsid w:val="00250BB3"/>
    <w:rsid w:val="00250C81"/>
    <w:rsid w:val="00251C27"/>
    <w:rsid w:val="0025204F"/>
    <w:rsid w:val="00252EBA"/>
    <w:rsid w:val="00255FB4"/>
    <w:rsid w:val="00257900"/>
    <w:rsid w:val="002579EC"/>
    <w:rsid w:val="00261368"/>
    <w:rsid w:val="00261DFD"/>
    <w:rsid w:val="00263B57"/>
    <w:rsid w:val="00263C77"/>
    <w:rsid w:val="00267B5B"/>
    <w:rsid w:val="00272844"/>
    <w:rsid w:val="00273015"/>
    <w:rsid w:val="00273A27"/>
    <w:rsid w:val="00274040"/>
    <w:rsid w:val="00276913"/>
    <w:rsid w:val="00276BC0"/>
    <w:rsid w:val="00277A9B"/>
    <w:rsid w:val="002820E3"/>
    <w:rsid w:val="00282C96"/>
    <w:rsid w:val="00283C2B"/>
    <w:rsid w:val="002853C7"/>
    <w:rsid w:val="0028776C"/>
    <w:rsid w:val="00290099"/>
    <w:rsid w:val="00290FE0"/>
    <w:rsid w:val="002910F9"/>
    <w:rsid w:val="002922E1"/>
    <w:rsid w:val="00292ED3"/>
    <w:rsid w:val="0029310B"/>
    <w:rsid w:val="00293D04"/>
    <w:rsid w:val="002941A6"/>
    <w:rsid w:val="00295147"/>
    <w:rsid w:val="00295828"/>
    <w:rsid w:val="00297C12"/>
    <w:rsid w:val="00297DCA"/>
    <w:rsid w:val="002A1F16"/>
    <w:rsid w:val="002A2413"/>
    <w:rsid w:val="002A30E0"/>
    <w:rsid w:val="002A3935"/>
    <w:rsid w:val="002A533D"/>
    <w:rsid w:val="002A7198"/>
    <w:rsid w:val="002B024A"/>
    <w:rsid w:val="002B08D8"/>
    <w:rsid w:val="002B3A1C"/>
    <w:rsid w:val="002B3A71"/>
    <w:rsid w:val="002B3B62"/>
    <w:rsid w:val="002B3E61"/>
    <w:rsid w:val="002B535B"/>
    <w:rsid w:val="002B78E6"/>
    <w:rsid w:val="002C284D"/>
    <w:rsid w:val="002C4011"/>
    <w:rsid w:val="002C457D"/>
    <w:rsid w:val="002C4CD9"/>
    <w:rsid w:val="002C6248"/>
    <w:rsid w:val="002C7B4C"/>
    <w:rsid w:val="002D12EF"/>
    <w:rsid w:val="002D1357"/>
    <w:rsid w:val="002D17A2"/>
    <w:rsid w:val="002D17B5"/>
    <w:rsid w:val="002D49F5"/>
    <w:rsid w:val="002D6E6A"/>
    <w:rsid w:val="002E010D"/>
    <w:rsid w:val="002E114B"/>
    <w:rsid w:val="002E132D"/>
    <w:rsid w:val="002E2792"/>
    <w:rsid w:val="002E3521"/>
    <w:rsid w:val="002E47F0"/>
    <w:rsid w:val="002E4D9A"/>
    <w:rsid w:val="002E5595"/>
    <w:rsid w:val="002E6053"/>
    <w:rsid w:val="002E6542"/>
    <w:rsid w:val="002E6EF0"/>
    <w:rsid w:val="002F1019"/>
    <w:rsid w:val="002F3860"/>
    <w:rsid w:val="002F487D"/>
    <w:rsid w:val="002F7421"/>
    <w:rsid w:val="003031A0"/>
    <w:rsid w:val="00303C28"/>
    <w:rsid w:val="00305CBD"/>
    <w:rsid w:val="00311199"/>
    <w:rsid w:val="003118E5"/>
    <w:rsid w:val="00311E17"/>
    <w:rsid w:val="00312B72"/>
    <w:rsid w:val="00313422"/>
    <w:rsid w:val="00314B02"/>
    <w:rsid w:val="00320EE7"/>
    <w:rsid w:val="00321866"/>
    <w:rsid w:val="00323471"/>
    <w:rsid w:val="00325100"/>
    <w:rsid w:val="003257E2"/>
    <w:rsid w:val="003257E5"/>
    <w:rsid w:val="00326B20"/>
    <w:rsid w:val="00330D9E"/>
    <w:rsid w:val="00331347"/>
    <w:rsid w:val="0033139B"/>
    <w:rsid w:val="00332104"/>
    <w:rsid w:val="003341E0"/>
    <w:rsid w:val="003341ED"/>
    <w:rsid w:val="00334785"/>
    <w:rsid w:val="00334F8C"/>
    <w:rsid w:val="00335CB7"/>
    <w:rsid w:val="00336198"/>
    <w:rsid w:val="00337217"/>
    <w:rsid w:val="00342167"/>
    <w:rsid w:val="00343599"/>
    <w:rsid w:val="00344C5B"/>
    <w:rsid w:val="00347486"/>
    <w:rsid w:val="00351BFB"/>
    <w:rsid w:val="0035280B"/>
    <w:rsid w:val="0035346B"/>
    <w:rsid w:val="00353D9F"/>
    <w:rsid w:val="00356A78"/>
    <w:rsid w:val="00357B9F"/>
    <w:rsid w:val="003601F6"/>
    <w:rsid w:val="003603BF"/>
    <w:rsid w:val="00360599"/>
    <w:rsid w:val="00360C59"/>
    <w:rsid w:val="00362458"/>
    <w:rsid w:val="00362C76"/>
    <w:rsid w:val="003645EF"/>
    <w:rsid w:val="003669CB"/>
    <w:rsid w:val="003669FA"/>
    <w:rsid w:val="0036731A"/>
    <w:rsid w:val="0037027C"/>
    <w:rsid w:val="00372D80"/>
    <w:rsid w:val="003750D7"/>
    <w:rsid w:val="00376BEA"/>
    <w:rsid w:val="0037791A"/>
    <w:rsid w:val="00386B5F"/>
    <w:rsid w:val="003947CE"/>
    <w:rsid w:val="003953A2"/>
    <w:rsid w:val="003956A2"/>
    <w:rsid w:val="00395E65"/>
    <w:rsid w:val="0039699C"/>
    <w:rsid w:val="00397466"/>
    <w:rsid w:val="00397A16"/>
    <w:rsid w:val="003A50B6"/>
    <w:rsid w:val="003A5FA4"/>
    <w:rsid w:val="003A6D4F"/>
    <w:rsid w:val="003B1998"/>
    <w:rsid w:val="003B2517"/>
    <w:rsid w:val="003B4D67"/>
    <w:rsid w:val="003B6CAE"/>
    <w:rsid w:val="003C2FD1"/>
    <w:rsid w:val="003C54C2"/>
    <w:rsid w:val="003C6A8E"/>
    <w:rsid w:val="003D3028"/>
    <w:rsid w:val="003D4B93"/>
    <w:rsid w:val="003D4BB0"/>
    <w:rsid w:val="003D4C58"/>
    <w:rsid w:val="003D62B0"/>
    <w:rsid w:val="003D6B4C"/>
    <w:rsid w:val="003E150A"/>
    <w:rsid w:val="003E1B89"/>
    <w:rsid w:val="003E23AD"/>
    <w:rsid w:val="003E2A58"/>
    <w:rsid w:val="003E36F8"/>
    <w:rsid w:val="003E3750"/>
    <w:rsid w:val="003E4816"/>
    <w:rsid w:val="003E5CB9"/>
    <w:rsid w:val="003E5D3C"/>
    <w:rsid w:val="003E69B3"/>
    <w:rsid w:val="003F0D2E"/>
    <w:rsid w:val="003F0EFB"/>
    <w:rsid w:val="003F1C71"/>
    <w:rsid w:val="003F6EE1"/>
    <w:rsid w:val="00406E09"/>
    <w:rsid w:val="00407802"/>
    <w:rsid w:val="00411F98"/>
    <w:rsid w:val="004131B3"/>
    <w:rsid w:val="00413B6E"/>
    <w:rsid w:val="0041486F"/>
    <w:rsid w:val="00415498"/>
    <w:rsid w:val="00417207"/>
    <w:rsid w:val="00420236"/>
    <w:rsid w:val="00420C87"/>
    <w:rsid w:val="00421F27"/>
    <w:rsid w:val="00422221"/>
    <w:rsid w:val="00424370"/>
    <w:rsid w:val="00424385"/>
    <w:rsid w:val="00424698"/>
    <w:rsid w:val="004268A8"/>
    <w:rsid w:val="00430125"/>
    <w:rsid w:val="00431722"/>
    <w:rsid w:val="00433315"/>
    <w:rsid w:val="00434233"/>
    <w:rsid w:val="004359E6"/>
    <w:rsid w:val="00436AD4"/>
    <w:rsid w:val="0044011D"/>
    <w:rsid w:val="0044051C"/>
    <w:rsid w:val="00440766"/>
    <w:rsid w:val="004408AC"/>
    <w:rsid w:val="00441EBD"/>
    <w:rsid w:val="0044202B"/>
    <w:rsid w:val="00442C90"/>
    <w:rsid w:val="004434BB"/>
    <w:rsid w:val="0044524F"/>
    <w:rsid w:val="0044583E"/>
    <w:rsid w:val="00447309"/>
    <w:rsid w:val="0044757E"/>
    <w:rsid w:val="00447AE3"/>
    <w:rsid w:val="00447EE2"/>
    <w:rsid w:val="004503F7"/>
    <w:rsid w:val="0045090E"/>
    <w:rsid w:val="0045319C"/>
    <w:rsid w:val="00454149"/>
    <w:rsid w:val="00454F55"/>
    <w:rsid w:val="00463034"/>
    <w:rsid w:val="00464AC6"/>
    <w:rsid w:val="004679B9"/>
    <w:rsid w:val="00467AE7"/>
    <w:rsid w:val="00467BF0"/>
    <w:rsid w:val="00474A93"/>
    <w:rsid w:val="00475148"/>
    <w:rsid w:val="00476A04"/>
    <w:rsid w:val="00483CB7"/>
    <w:rsid w:val="00486C85"/>
    <w:rsid w:val="00486F64"/>
    <w:rsid w:val="00490151"/>
    <w:rsid w:val="0049070A"/>
    <w:rsid w:val="00490AC1"/>
    <w:rsid w:val="0049357A"/>
    <w:rsid w:val="0049384F"/>
    <w:rsid w:val="00495A52"/>
    <w:rsid w:val="00495CC5"/>
    <w:rsid w:val="0049755D"/>
    <w:rsid w:val="004A1596"/>
    <w:rsid w:val="004A1F4B"/>
    <w:rsid w:val="004A2B39"/>
    <w:rsid w:val="004A6CA9"/>
    <w:rsid w:val="004B079F"/>
    <w:rsid w:val="004B0B89"/>
    <w:rsid w:val="004B1AA1"/>
    <w:rsid w:val="004B2921"/>
    <w:rsid w:val="004B3708"/>
    <w:rsid w:val="004B3B23"/>
    <w:rsid w:val="004B4EF1"/>
    <w:rsid w:val="004B5074"/>
    <w:rsid w:val="004B52FB"/>
    <w:rsid w:val="004C12EB"/>
    <w:rsid w:val="004C26EE"/>
    <w:rsid w:val="004C4776"/>
    <w:rsid w:val="004C53E2"/>
    <w:rsid w:val="004D012D"/>
    <w:rsid w:val="004D1BD7"/>
    <w:rsid w:val="004D36AB"/>
    <w:rsid w:val="004D52C8"/>
    <w:rsid w:val="004D792E"/>
    <w:rsid w:val="004E3D01"/>
    <w:rsid w:val="004E40A2"/>
    <w:rsid w:val="004E4A3B"/>
    <w:rsid w:val="004E58F2"/>
    <w:rsid w:val="004E6181"/>
    <w:rsid w:val="004F0336"/>
    <w:rsid w:val="004F267C"/>
    <w:rsid w:val="004F3704"/>
    <w:rsid w:val="004F41AE"/>
    <w:rsid w:val="004F5CC5"/>
    <w:rsid w:val="00501695"/>
    <w:rsid w:val="0050414E"/>
    <w:rsid w:val="005056D3"/>
    <w:rsid w:val="00505F8F"/>
    <w:rsid w:val="005064A3"/>
    <w:rsid w:val="00507769"/>
    <w:rsid w:val="005132B9"/>
    <w:rsid w:val="00516ADB"/>
    <w:rsid w:val="00517AD3"/>
    <w:rsid w:val="00521620"/>
    <w:rsid w:val="005235D2"/>
    <w:rsid w:val="00524EDA"/>
    <w:rsid w:val="00525ADC"/>
    <w:rsid w:val="005262B8"/>
    <w:rsid w:val="00527D59"/>
    <w:rsid w:val="00527F39"/>
    <w:rsid w:val="00531DC9"/>
    <w:rsid w:val="00534E13"/>
    <w:rsid w:val="00534E5D"/>
    <w:rsid w:val="00534E94"/>
    <w:rsid w:val="00540768"/>
    <w:rsid w:val="00540CFF"/>
    <w:rsid w:val="00540ED3"/>
    <w:rsid w:val="00543A01"/>
    <w:rsid w:val="00544B55"/>
    <w:rsid w:val="0054556B"/>
    <w:rsid w:val="00546AB7"/>
    <w:rsid w:val="00546E92"/>
    <w:rsid w:val="005474C6"/>
    <w:rsid w:val="00547693"/>
    <w:rsid w:val="0054777F"/>
    <w:rsid w:val="005507FB"/>
    <w:rsid w:val="00556B72"/>
    <w:rsid w:val="00561126"/>
    <w:rsid w:val="00561595"/>
    <w:rsid w:val="00561CD3"/>
    <w:rsid w:val="00562A15"/>
    <w:rsid w:val="00565526"/>
    <w:rsid w:val="00565716"/>
    <w:rsid w:val="00567CC4"/>
    <w:rsid w:val="00570554"/>
    <w:rsid w:val="00570E0B"/>
    <w:rsid w:val="00571635"/>
    <w:rsid w:val="00572881"/>
    <w:rsid w:val="00573C11"/>
    <w:rsid w:val="00576E7A"/>
    <w:rsid w:val="00576E7D"/>
    <w:rsid w:val="00577AB6"/>
    <w:rsid w:val="0058319E"/>
    <w:rsid w:val="0058332A"/>
    <w:rsid w:val="005846F2"/>
    <w:rsid w:val="00584DD9"/>
    <w:rsid w:val="00585AA5"/>
    <w:rsid w:val="00585D1F"/>
    <w:rsid w:val="00587701"/>
    <w:rsid w:val="00594DAF"/>
    <w:rsid w:val="00595AC0"/>
    <w:rsid w:val="005962DE"/>
    <w:rsid w:val="0059730E"/>
    <w:rsid w:val="005A0673"/>
    <w:rsid w:val="005A3BA8"/>
    <w:rsid w:val="005A495C"/>
    <w:rsid w:val="005A4C9D"/>
    <w:rsid w:val="005A6B70"/>
    <w:rsid w:val="005A7379"/>
    <w:rsid w:val="005B0A12"/>
    <w:rsid w:val="005B0A57"/>
    <w:rsid w:val="005B3882"/>
    <w:rsid w:val="005B5CE2"/>
    <w:rsid w:val="005B5F12"/>
    <w:rsid w:val="005C1DDE"/>
    <w:rsid w:val="005C1FC6"/>
    <w:rsid w:val="005C36F8"/>
    <w:rsid w:val="005C6C06"/>
    <w:rsid w:val="005D12A9"/>
    <w:rsid w:val="005D2153"/>
    <w:rsid w:val="005D358C"/>
    <w:rsid w:val="005D3A74"/>
    <w:rsid w:val="005D3EAF"/>
    <w:rsid w:val="005D3EE5"/>
    <w:rsid w:val="005D5198"/>
    <w:rsid w:val="005D77DD"/>
    <w:rsid w:val="005D7AB5"/>
    <w:rsid w:val="005E2C67"/>
    <w:rsid w:val="005E2F92"/>
    <w:rsid w:val="005E2FCE"/>
    <w:rsid w:val="005E592E"/>
    <w:rsid w:val="005E7806"/>
    <w:rsid w:val="005F06FA"/>
    <w:rsid w:val="005F6493"/>
    <w:rsid w:val="005F73E8"/>
    <w:rsid w:val="006001A1"/>
    <w:rsid w:val="00600271"/>
    <w:rsid w:val="00600446"/>
    <w:rsid w:val="00602952"/>
    <w:rsid w:val="00605217"/>
    <w:rsid w:val="00606944"/>
    <w:rsid w:val="00607046"/>
    <w:rsid w:val="00607F9E"/>
    <w:rsid w:val="00612B77"/>
    <w:rsid w:val="00613E60"/>
    <w:rsid w:val="0061515A"/>
    <w:rsid w:val="00617F15"/>
    <w:rsid w:val="00621225"/>
    <w:rsid w:val="0062166C"/>
    <w:rsid w:val="00623468"/>
    <w:rsid w:val="00623EA1"/>
    <w:rsid w:val="006245BD"/>
    <w:rsid w:val="00625EBB"/>
    <w:rsid w:val="006268DC"/>
    <w:rsid w:val="0063017D"/>
    <w:rsid w:val="006304C6"/>
    <w:rsid w:val="0063583F"/>
    <w:rsid w:val="006373BB"/>
    <w:rsid w:val="00637D3A"/>
    <w:rsid w:val="00640450"/>
    <w:rsid w:val="00642322"/>
    <w:rsid w:val="006425E3"/>
    <w:rsid w:val="0064345A"/>
    <w:rsid w:val="00643ABB"/>
    <w:rsid w:val="0064760B"/>
    <w:rsid w:val="0065071D"/>
    <w:rsid w:val="006536AC"/>
    <w:rsid w:val="00655791"/>
    <w:rsid w:val="00657319"/>
    <w:rsid w:val="00665AD8"/>
    <w:rsid w:val="00667A34"/>
    <w:rsid w:val="00667DBF"/>
    <w:rsid w:val="00672992"/>
    <w:rsid w:val="00675DBC"/>
    <w:rsid w:val="0068023F"/>
    <w:rsid w:val="00680C2B"/>
    <w:rsid w:val="006824A9"/>
    <w:rsid w:val="00683AE4"/>
    <w:rsid w:val="0068567D"/>
    <w:rsid w:val="006857B7"/>
    <w:rsid w:val="00686382"/>
    <w:rsid w:val="006904A0"/>
    <w:rsid w:val="006905ED"/>
    <w:rsid w:val="00691B48"/>
    <w:rsid w:val="00691BAF"/>
    <w:rsid w:val="00692216"/>
    <w:rsid w:val="00692A54"/>
    <w:rsid w:val="00693968"/>
    <w:rsid w:val="00694317"/>
    <w:rsid w:val="00696AA7"/>
    <w:rsid w:val="00697329"/>
    <w:rsid w:val="006A30A8"/>
    <w:rsid w:val="006A4390"/>
    <w:rsid w:val="006A5974"/>
    <w:rsid w:val="006A716E"/>
    <w:rsid w:val="006B30DC"/>
    <w:rsid w:val="006B491E"/>
    <w:rsid w:val="006B688C"/>
    <w:rsid w:val="006B7188"/>
    <w:rsid w:val="006C0FAC"/>
    <w:rsid w:val="006C234A"/>
    <w:rsid w:val="006C60D5"/>
    <w:rsid w:val="006C62D2"/>
    <w:rsid w:val="006C6496"/>
    <w:rsid w:val="006C6D8F"/>
    <w:rsid w:val="006D0A2C"/>
    <w:rsid w:val="006D0BC2"/>
    <w:rsid w:val="006D51A1"/>
    <w:rsid w:val="006D51E4"/>
    <w:rsid w:val="006D60FC"/>
    <w:rsid w:val="006D654F"/>
    <w:rsid w:val="006E2626"/>
    <w:rsid w:val="006E4A9E"/>
    <w:rsid w:val="006E5106"/>
    <w:rsid w:val="006E6017"/>
    <w:rsid w:val="006E77F0"/>
    <w:rsid w:val="006E78E1"/>
    <w:rsid w:val="006F5500"/>
    <w:rsid w:val="006F57CF"/>
    <w:rsid w:val="006F62D2"/>
    <w:rsid w:val="00702973"/>
    <w:rsid w:val="00704D2A"/>
    <w:rsid w:val="00704F74"/>
    <w:rsid w:val="00706F1B"/>
    <w:rsid w:val="007101B5"/>
    <w:rsid w:val="0071426E"/>
    <w:rsid w:val="007147B7"/>
    <w:rsid w:val="00714AD3"/>
    <w:rsid w:val="007210A4"/>
    <w:rsid w:val="00721E8C"/>
    <w:rsid w:val="007239C9"/>
    <w:rsid w:val="00732855"/>
    <w:rsid w:val="00732F1B"/>
    <w:rsid w:val="007331EB"/>
    <w:rsid w:val="00733223"/>
    <w:rsid w:val="0073425B"/>
    <w:rsid w:val="00734EAF"/>
    <w:rsid w:val="00737A1F"/>
    <w:rsid w:val="00737A55"/>
    <w:rsid w:val="00740379"/>
    <w:rsid w:val="00740F96"/>
    <w:rsid w:val="00741F3B"/>
    <w:rsid w:val="007444CB"/>
    <w:rsid w:val="00745853"/>
    <w:rsid w:val="007523E6"/>
    <w:rsid w:val="00753C37"/>
    <w:rsid w:val="007548F8"/>
    <w:rsid w:val="00754E4D"/>
    <w:rsid w:val="00755F19"/>
    <w:rsid w:val="007605EC"/>
    <w:rsid w:val="00763344"/>
    <w:rsid w:val="0076394C"/>
    <w:rsid w:val="007657A9"/>
    <w:rsid w:val="00766C4E"/>
    <w:rsid w:val="007677C9"/>
    <w:rsid w:val="00767EE1"/>
    <w:rsid w:val="00771BE8"/>
    <w:rsid w:val="007731A1"/>
    <w:rsid w:val="0077380C"/>
    <w:rsid w:val="007754F0"/>
    <w:rsid w:val="007771BC"/>
    <w:rsid w:val="0078331D"/>
    <w:rsid w:val="00783E28"/>
    <w:rsid w:val="0078503D"/>
    <w:rsid w:val="00785555"/>
    <w:rsid w:val="00787F7A"/>
    <w:rsid w:val="00790B23"/>
    <w:rsid w:val="00790B9A"/>
    <w:rsid w:val="0079221D"/>
    <w:rsid w:val="007929FB"/>
    <w:rsid w:val="00792C45"/>
    <w:rsid w:val="00792CBD"/>
    <w:rsid w:val="0079626C"/>
    <w:rsid w:val="007966A6"/>
    <w:rsid w:val="007A0A09"/>
    <w:rsid w:val="007A0EA4"/>
    <w:rsid w:val="007A37D7"/>
    <w:rsid w:val="007A3C67"/>
    <w:rsid w:val="007A4676"/>
    <w:rsid w:val="007A4C3D"/>
    <w:rsid w:val="007A58A2"/>
    <w:rsid w:val="007A6629"/>
    <w:rsid w:val="007B0FBE"/>
    <w:rsid w:val="007B1006"/>
    <w:rsid w:val="007B3185"/>
    <w:rsid w:val="007B4EBF"/>
    <w:rsid w:val="007B7DD8"/>
    <w:rsid w:val="007C0589"/>
    <w:rsid w:val="007C0D3B"/>
    <w:rsid w:val="007C3DF5"/>
    <w:rsid w:val="007C7430"/>
    <w:rsid w:val="007D0EA9"/>
    <w:rsid w:val="007D2493"/>
    <w:rsid w:val="007D48E0"/>
    <w:rsid w:val="007D6DFA"/>
    <w:rsid w:val="007E134E"/>
    <w:rsid w:val="007E2BCB"/>
    <w:rsid w:val="007F5113"/>
    <w:rsid w:val="007F5ED0"/>
    <w:rsid w:val="007F765B"/>
    <w:rsid w:val="007F766D"/>
    <w:rsid w:val="00800DDB"/>
    <w:rsid w:val="00802B1D"/>
    <w:rsid w:val="00803136"/>
    <w:rsid w:val="008041DC"/>
    <w:rsid w:val="00804991"/>
    <w:rsid w:val="00804B00"/>
    <w:rsid w:val="00805C50"/>
    <w:rsid w:val="00806B4A"/>
    <w:rsid w:val="008073D6"/>
    <w:rsid w:val="0081007D"/>
    <w:rsid w:val="00812ABF"/>
    <w:rsid w:val="00814967"/>
    <w:rsid w:val="00814E0E"/>
    <w:rsid w:val="00815D83"/>
    <w:rsid w:val="008165DD"/>
    <w:rsid w:val="00816918"/>
    <w:rsid w:val="00816E05"/>
    <w:rsid w:val="008170BA"/>
    <w:rsid w:val="00817753"/>
    <w:rsid w:val="00820CC4"/>
    <w:rsid w:val="008228C7"/>
    <w:rsid w:val="00825062"/>
    <w:rsid w:val="00825E24"/>
    <w:rsid w:val="0082677A"/>
    <w:rsid w:val="008272FA"/>
    <w:rsid w:val="00827A39"/>
    <w:rsid w:val="00831607"/>
    <w:rsid w:val="00831858"/>
    <w:rsid w:val="008332AA"/>
    <w:rsid w:val="00833F34"/>
    <w:rsid w:val="00837E6F"/>
    <w:rsid w:val="008401DC"/>
    <w:rsid w:val="008447A6"/>
    <w:rsid w:val="008458C8"/>
    <w:rsid w:val="00846A67"/>
    <w:rsid w:val="008474CF"/>
    <w:rsid w:val="008534E9"/>
    <w:rsid w:val="00855913"/>
    <w:rsid w:val="008566B8"/>
    <w:rsid w:val="00857419"/>
    <w:rsid w:val="00863719"/>
    <w:rsid w:val="0086479E"/>
    <w:rsid w:val="008668F8"/>
    <w:rsid w:val="00871226"/>
    <w:rsid w:val="00872F48"/>
    <w:rsid w:val="00873649"/>
    <w:rsid w:val="00873E50"/>
    <w:rsid w:val="00874AD3"/>
    <w:rsid w:val="00875E25"/>
    <w:rsid w:val="00875E2F"/>
    <w:rsid w:val="00877825"/>
    <w:rsid w:val="0088092B"/>
    <w:rsid w:val="008815E0"/>
    <w:rsid w:val="008829BC"/>
    <w:rsid w:val="00884792"/>
    <w:rsid w:val="00884EEE"/>
    <w:rsid w:val="00885066"/>
    <w:rsid w:val="0088657F"/>
    <w:rsid w:val="008867DE"/>
    <w:rsid w:val="00886CB0"/>
    <w:rsid w:val="00890B87"/>
    <w:rsid w:val="00890E94"/>
    <w:rsid w:val="00892B7A"/>
    <w:rsid w:val="0089381F"/>
    <w:rsid w:val="008944F8"/>
    <w:rsid w:val="00894797"/>
    <w:rsid w:val="00895657"/>
    <w:rsid w:val="0089699D"/>
    <w:rsid w:val="00896AF6"/>
    <w:rsid w:val="00897A3D"/>
    <w:rsid w:val="008A25F2"/>
    <w:rsid w:val="008A3851"/>
    <w:rsid w:val="008A5712"/>
    <w:rsid w:val="008A59C8"/>
    <w:rsid w:val="008A6697"/>
    <w:rsid w:val="008A6DBB"/>
    <w:rsid w:val="008A75EA"/>
    <w:rsid w:val="008B3769"/>
    <w:rsid w:val="008B4829"/>
    <w:rsid w:val="008B7F4E"/>
    <w:rsid w:val="008C7556"/>
    <w:rsid w:val="008C791B"/>
    <w:rsid w:val="008D179E"/>
    <w:rsid w:val="008D2FCE"/>
    <w:rsid w:val="008E0B9C"/>
    <w:rsid w:val="008E0F47"/>
    <w:rsid w:val="008E4A05"/>
    <w:rsid w:val="008E693F"/>
    <w:rsid w:val="008F557E"/>
    <w:rsid w:val="008F5A26"/>
    <w:rsid w:val="008F6974"/>
    <w:rsid w:val="008F6E78"/>
    <w:rsid w:val="009006FA"/>
    <w:rsid w:val="009013D3"/>
    <w:rsid w:val="00904067"/>
    <w:rsid w:val="0090456D"/>
    <w:rsid w:val="009076E8"/>
    <w:rsid w:val="00910141"/>
    <w:rsid w:val="0091029F"/>
    <w:rsid w:val="00910D86"/>
    <w:rsid w:val="00912CA6"/>
    <w:rsid w:val="00915558"/>
    <w:rsid w:val="00917578"/>
    <w:rsid w:val="00917BB0"/>
    <w:rsid w:val="0092521C"/>
    <w:rsid w:val="009265DD"/>
    <w:rsid w:val="00927CCE"/>
    <w:rsid w:val="009304D2"/>
    <w:rsid w:val="00935A0E"/>
    <w:rsid w:val="00936F70"/>
    <w:rsid w:val="0093700F"/>
    <w:rsid w:val="00937CDD"/>
    <w:rsid w:val="00940BD0"/>
    <w:rsid w:val="00940C3A"/>
    <w:rsid w:val="0094145B"/>
    <w:rsid w:val="00941475"/>
    <w:rsid w:val="00941973"/>
    <w:rsid w:val="00945192"/>
    <w:rsid w:val="0094626B"/>
    <w:rsid w:val="00950D9B"/>
    <w:rsid w:val="009517E4"/>
    <w:rsid w:val="00951A1D"/>
    <w:rsid w:val="00953E35"/>
    <w:rsid w:val="00954090"/>
    <w:rsid w:val="009549FC"/>
    <w:rsid w:val="00955977"/>
    <w:rsid w:val="00955C6A"/>
    <w:rsid w:val="00956390"/>
    <w:rsid w:val="009567A9"/>
    <w:rsid w:val="00957631"/>
    <w:rsid w:val="00957FB8"/>
    <w:rsid w:val="00960A27"/>
    <w:rsid w:val="009620F6"/>
    <w:rsid w:val="00963204"/>
    <w:rsid w:val="00963C44"/>
    <w:rsid w:val="00966751"/>
    <w:rsid w:val="00967034"/>
    <w:rsid w:val="00971AFD"/>
    <w:rsid w:val="009729F9"/>
    <w:rsid w:val="0097486A"/>
    <w:rsid w:val="00974B73"/>
    <w:rsid w:val="00975E75"/>
    <w:rsid w:val="00977423"/>
    <w:rsid w:val="00977AF7"/>
    <w:rsid w:val="00977FCA"/>
    <w:rsid w:val="0098070D"/>
    <w:rsid w:val="0098101C"/>
    <w:rsid w:val="009843A9"/>
    <w:rsid w:val="0098569A"/>
    <w:rsid w:val="00987235"/>
    <w:rsid w:val="00990830"/>
    <w:rsid w:val="00990F38"/>
    <w:rsid w:val="00994578"/>
    <w:rsid w:val="009953B4"/>
    <w:rsid w:val="00995663"/>
    <w:rsid w:val="009961A7"/>
    <w:rsid w:val="0099692C"/>
    <w:rsid w:val="009A0ED8"/>
    <w:rsid w:val="009A1EF2"/>
    <w:rsid w:val="009A273E"/>
    <w:rsid w:val="009A58DF"/>
    <w:rsid w:val="009B4318"/>
    <w:rsid w:val="009B47B7"/>
    <w:rsid w:val="009B580B"/>
    <w:rsid w:val="009C0B9E"/>
    <w:rsid w:val="009C11B6"/>
    <w:rsid w:val="009C1FE8"/>
    <w:rsid w:val="009C4737"/>
    <w:rsid w:val="009C5E3E"/>
    <w:rsid w:val="009D30A0"/>
    <w:rsid w:val="009D68C6"/>
    <w:rsid w:val="009D769F"/>
    <w:rsid w:val="009D7B59"/>
    <w:rsid w:val="009E0699"/>
    <w:rsid w:val="009E1101"/>
    <w:rsid w:val="009E237F"/>
    <w:rsid w:val="009E5F51"/>
    <w:rsid w:val="009E74ED"/>
    <w:rsid w:val="009E7C0A"/>
    <w:rsid w:val="009F0149"/>
    <w:rsid w:val="009F055B"/>
    <w:rsid w:val="009F07E1"/>
    <w:rsid w:val="009F1331"/>
    <w:rsid w:val="009F2172"/>
    <w:rsid w:val="009F2F9C"/>
    <w:rsid w:val="009F4FEE"/>
    <w:rsid w:val="009F61BA"/>
    <w:rsid w:val="009F672D"/>
    <w:rsid w:val="009F7059"/>
    <w:rsid w:val="009F7CE3"/>
    <w:rsid w:val="00A01EB7"/>
    <w:rsid w:val="00A029F2"/>
    <w:rsid w:val="00A04442"/>
    <w:rsid w:val="00A057AC"/>
    <w:rsid w:val="00A06668"/>
    <w:rsid w:val="00A10075"/>
    <w:rsid w:val="00A102CD"/>
    <w:rsid w:val="00A10668"/>
    <w:rsid w:val="00A12E30"/>
    <w:rsid w:val="00A14ECF"/>
    <w:rsid w:val="00A15D9A"/>
    <w:rsid w:val="00A16D92"/>
    <w:rsid w:val="00A17EFE"/>
    <w:rsid w:val="00A21136"/>
    <w:rsid w:val="00A21EB6"/>
    <w:rsid w:val="00A2310F"/>
    <w:rsid w:val="00A23EC7"/>
    <w:rsid w:val="00A24A07"/>
    <w:rsid w:val="00A31378"/>
    <w:rsid w:val="00A3264C"/>
    <w:rsid w:val="00A33327"/>
    <w:rsid w:val="00A376EA"/>
    <w:rsid w:val="00A40C65"/>
    <w:rsid w:val="00A410A6"/>
    <w:rsid w:val="00A42E59"/>
    <w:rsid w:val="00A44877"/>
    <w:rsid w:val="00A46FE3"/>
    <w:rsid w:val="00A47A48"/>
    <w:rsid w:val="00A47D3C"/>
    <w:rsid w:val="00A5157D"/>
    <w:rsid w:val="00A56CA1"/>
    <w:rsid w:val="00A57A1A"/>
    <w:rsid w:val="00A6702F"/>
    <w:rsid w:val="00A673AF"/>
    <w:rsid w:val="00A70161"/>
    <w:rsid w:val="00A70941"/>
    <w:rsid w:val="00A73734"/>
    <w:rsid w:val="00A7683E"/>
    <w:rsid w:val="00A774E6"/>
    <w:rsid w:val="00A82789"/>
    <w:rsid w:val="00A87CE5"/>
    <w:rsid w:val="00A92275"/>
    <w:rsid w:val="00A92EE0"/>
    <w:rsid w:val="00A93EE5"/>
    <w:rsid w:val="00A944C2"/>
    <w:rsid w:val="00A94B85"/>
    <w:rsid w:val="00A95B7D"/>
    <w:rsid w:val="00A95DBF"/>
    <w:rsid w:val="00A96FC1"/>
    <w:rsid w:val="00A971ED"/>
    <w:rsid w:val="00AA1AFC"/>
    <w:rsid w:val="00AA2434"/>
    <w:rsid w:val="00AA3E59"/>
    <w:rsid w:val="00AB2FB2"/>
    <w:rsid w:val="00AB4075"/>
    <w:rsid w:val="00AB495D"/>
    <w:rsid w:val="00AB5808"/>
    <w:rsid w:val="00AB5F35"/>
    <w:rsid w:val="00AC1C3C"/>
    <w:rsid w:val="00AC3186"/>
    <w:rsid w:val="00AC4BD4"/>
    <w:rsid w:val="00AC6BB6"/>
    <w:rsid w:val="00AD21AB"/>
    <w:rsid w:val="00AD291E"/>
    <w:rsid w:val="00AD4FAE"/>
    <w:rsid w:val="00AD557F"/>
    <w:rsid w:val="00AD5C4D"/>
    <w:rsid w:val="00AE1265"/>
    <w:rsid w:val="00AE245B"/>
    <w:rsid w:val="00AE2B30"/>
    <w:rsid w:val="00AE3322"/>
    <w:rsid w:val="00AE4ECD"/>
    <w:rsid w:val="00AE54D1"/>
    <w:rsid w:val="00AE7220"/>
    <w:rsid w:val="00AF0951"/>
    <w:rsid w:val="00AF2F74"/>
    <w:rsid w:val="00AF559C"/>
    <w:rsid w:val="00B003B4"/>
    <w:rsid w:val="00B016DF"/>
    <w:rsid w:val="00B01D0D"/>
    <w:rsid w:val="00B0225D"/>
    <w:rsid w:val="00B02D79"/>
    <w:rsid w:val="00B03757"/>
    <w:rsid w:val="00B11E0F"/>
    <w:rsid w:val="00B13844"/>
    <w:rsid w:val="00B139DD"/>
    <w:rsid w:val="00B13B32"/>
    <w:rsid w:val="00B1441B"/>
    <w:rsid w:val="00B15091"/>
    <w:rsid w:val="00B1532E"/>
    <w:rsid w:val="00B15EA2"/>
    <w:rsid w:val="00B2283A"/>
    <w:rsid w:val="00B22C2D"/>
    <w:rsid w:val="00B24A9E"/>
    <w:rsid w:val="00B267E0"/>
    <w:rsid w:val="00B27A60"/>
    <w:rsid w:val="00B27C5E"/>
    <w:rsid w:val="00B302C4"/>
    <w:rsid w:val="00B341D4"/>
    <w:rsid w:val="00B344C0"/>
    <w:rsid w:val="00B36C50"/>
    <w:rsid w:val="00B37368"/>
    <w:rsid w:val="00B376E7"/>
    <w:rsid w:val="00B37E5C"/>
    <w:rsid w:val="00B37E8B"/>
    <w:rsid w:val="00B40274"/>
    <w:rsid w:val="00B41F5C"/>
    <w:rsid w:val="00B420C5"/>
    <w:rsid w:val="00B43AB6"/>
    <w:rsid w:val="00B45875"/>
    <w:rsid w:val="00B46854"/>
    <w:rsid w:val="00B5056B"/>
    <w:rsid w:val="00B50CCE"/>
    <w:rsid w:val="00B52EBF"/>
    <w:rsid w:val="00B55F24"/>
    <w:rsid w:val="00B5616E"/>
    <w:rsid w:val="00B562B4"/>
    <w:rsid w:val="00B56E28"/>
    <w:rsid w:val="00B57590"/>
    <w:rsid w:val="00B57C2C"/>
    <w:rsid w:val="00B6216A"/>
    <w:rsid w:val="00B62910"/>
    <w:rsid w:val="00B63632"/>
    <w:rsid w:val="00B6380B"/>
    <w:rsid w:val="00B63972"/>
    <w:rsid w:val="00B64AB8"/>
    <w:rsid w:val="00B67820"/>
    <w:rsid w:val="00B72E0C"/>
    <w:rsid w:val="00B759B6"/>
    <w:rsid w:val="00B816D9"/>
    <w:rsid w:val="00B823F6"/>
    <w:rsid w:val="00B825CD"/>
    <w:rsid w:val="00B844EE"/>
    <w:rsid w:val="00B85925"/>
    <w:rsid w:val="00B859AC"/>
    <w:rsid w:val="00B86F6B"/>
    <w:rsid w:val="00B90650"/>
    <w:rsid w:val="00B9106E"/>
    <w:rsid w:val="00B92D6E"/>
    <w:rsid w:val="00B93805"/>
    <w:rsid w:val="00B9384E"/>
    <w:rsid w:val="00B97DEC"/>
    <w:rsid w:val="00BA0CDB"/>
    <w:rsid w:val="00BA11B4"/>
    <w:rsid w:val="00BA2063"/>
    <w:rsid w:val="00BA5205"/>
    <w:rsid w:val="00BA56CA"/>
    <w:rsid w:val="00BA5D4F"/>
    <w:rsid w:val="00BA6142"/>
    <w:rsid w:val="00BA7F8A"/>
    <w:rsid w:val="00BC1726"/>
    <w:rsid w:val="00BC282F"/>
    <w:rsid w:val="00BC3FA9"/>
    <w:rsid w:val="00BC6A0E"/>
    <w:rsid w:val="00BD05BD"/>
    <w:rsid w:val="00BD09BA"/>
    <w:rsid w:val="00BD0A46"/>
    <w:rsid w:val="00BD0E84"/>
    <w:rsid w:val="00BD3B07"/>
    <w:rsid w:val="00BD709C"/>
    <w:rsid w:val="00BE2D2B"/>
    <w:rsid w:val="00BE33FD"/>
    <w:rsid w:val="00BE40A1"/>
    <w:rsid w:val="00BE51BF"/>
    <w:rsid w:val="00BF247B"/>
    <w:rsid w:val="00BF2597"/>
    <w:rsid w:val="00BF39C7"/>
    <w:rsid w:val="00BF4C64"/>
    <w:rsid w:val="00BF6240"/>
    <w:rsid w:val="00C0357E"/>
    <w:rsid w:val="00C05F30"/>
    <w:rsid w:val="00C106FC"/>
    <w:rsid w:val="00C10706"/>
    <w:rsid w:val="00C10D8E"/>
    <w:rsid w:val="00C12A6D"/>
    <w:rsid w:val="00C1355E"/>
    <w:rsid w:val="00C139D5"/>
    <w:rsid w:val="00C2050D"/>
    <w:rsid w:val="00C2127E"/>
    <w:rsid w:val="00C21640"/>
    <w:rsid w:val="00C2234E"/>
    <w:rsid w:val="00C22622"/>
    <w:rsid w:val="00C228FE"/>
    <w:rsid w:val="00C24886"/>
    <w:rsid w:val="00C26361"/>
    <w:rsid w:val="00C30924"/>
    <w:rsid w:val="00C31206"/>
    <w:rsid w:val="00C323B0"/>
    <w:rsid w:val="00C347C6"/>
    <w:rsid w:val="00C354E7"/>
    <w:rsid w:val="00C37BA8"/>
    <w:rsid w:val="00C42C26"/>
    <w:rsid w:val="00C43113"/>
    <w:rsid w:val="00C43D6A"/>
    <w:rsid w:val="00C44AEF"/>
    <w:rsid w:val="00C4561A"/>
    <w:rsid w:val="00C477E3"/>
    <w:rsid w:val="00C53685"/>
    <w:rsid w:val="00C561BF"/>
    <w:rsid w:val="00C561D5"/>
    <w:rsid w:val="00C564B6"/>
    <w:rsid w:val="00C64675"/>
    <w:rsid w:val="00C67C47"/>
    <w:rsid w:val="00C710C3"/>
    <w:rsid w:val="00C73189"/>
    <w:rsid w:val="00C74E31"/>
    <w:rsid w:val="00C81755"/>
    <w:rsid w:val="00C86EB1"/>
    <w:rsid w:val="00C91176"/>
    <w:rsid w:val="00C94D1F"/>
    <w:rsid w:val="00C9613C"/>
    <w:rsid w:val="00C971B9"/>
    <w:rsid w:val="00CA0549"/>
    <w:rsid w:val="00CA5135"/>
    <w:rsid w:val="00CA5225"/>
    <w:rsid w:val="00CA52EB"/>
    <w:rsid w:val="00CA5B41"/>
    <w:rsid w:val="00CA669C"/>
    <w:rsid w:val="00CA6AD8"/>
    <w:rsid w:val="00CA7908"/>
    <w:rsid w:val="00CB1314"/>
    <w:rsid w:val="00CB13F2"/>
    <w:rsid w:val="00CB14D4"/>
    <w:rsid w:val="00CB5B4E"/>
    <w:rsid w:val="00CB66B4"/>
    <w:rsid w:val="00CC1DDB"/>
    <w:rsid w:val="00CC4412"/>
    <w:rsid w:val="00CC5C85"/>
    <w:rsid w:val="00CC5EE0"/>
    <w:rsid w:val="00CC7EC0"/>
    <w:rsid w:val="00CD1DFF"/>
    <w:rsid w:val="00CD2D5B"/>
    <w:rsid w:val="00CD3D8F"/>
    <w:rsid w:val="00CD51DC"/>
    <w:rsid w:val="00CD56DB"/>
    <w:rsid w:val="00CD633A"/>
    <w:rsid w:val="00CD6919"/>
    <w:rsid w:val="00CE1289"/>
    <w:rsid w:val="00CE6E1F"/>
    <w:rsid w:val="00CF3CCF"/>
    <w:rsid w:val="00CF6FE6"/>
    <w:rsid w:val="00D01140"/>
    <w:rsid w:val="00D02133"/>
    <w:rsid w:val="00D04C85"/>
    <w:rsid w:val="00D0547A"/>
    <w:rsid w:val="00D078EA"/>
    <w:rsid w:val="00D07E68"/>
    <w:rsid w:val="00D107E6"/>
    <w:rsid w:val="00D1207F"/>
    <w:rsid w:val="00D1328D"/>
    <w:rsid w:val="00D145E9"/>
    <w:rsid w:val="00D157B8"/>
    <w:rsid w:val="00D168B1"/>
    <w:rsid w:val="00D17B26"/>
    <w:rsid w:val="00D2003E"/>
    <w:rsid w:val="00D203D9"/>
    <w:rsid w:val="00D216C4"/>
    <w:rsid w:val="00D221EC"/>
    <w:rsid w:val="00D240A4"/>
    <w:rsid w:val="00D252FE"/>
    <w:rsid w:val="00D253B5"/>
    <w:rsid w:val="00D27B7C"/>
    <w:rsid w:val="00D30242"/>
    <w:rsid w:val="00D337A1"/>
    <w:rsid w:val="00D3398A"/>
    <w:rsid w:val="00D34FC7"/>
    <w:rsid w:val="00D36EDE"/>
    <w:rsid w:val="00D402B5"/>
    <w:rsid w:val="00D404ED"/>
    <w:rsid w:val="00D4083A"/>
    <w:rsid w:val="00D41A9B"/>
    <w:rsid w:val="00D42756"/>
    <w:rsid w:val="00D43581"/>
    <w:rsid w:val="00D43C50"/>
    <w:rsid w:val="00D44657"/>
    <w:rsid w:val="00D46CC2"/>
    <w:rsid w:val="00D47762"/>
    <w:rsid w:val="00D50E76"/>
    <w:rsid w:val="00D51435"/>
    <w:rsid w:val="00D51E03"/>
    <w:rsid w:val="00D557E1"/>
    <w:rsid w:val="00D55A3F"/>
    <w:rsid w:val="00D607D0"/>
    <w:rsid w:val="00D60803"/>
    <w:rsid w:val="00D61E11"/>
    <w:rsid w:val="00D6268D"/>
    <w:rsid w:val="00D6344B"/>
    <w:rsid w:val="00D64F69"/>
    <w:rsid w:val="00D65C4D"/>
    <w:rsid w:val="00D66E39"/>
    <w:rsid w:val="00D76D30"/>
    <w:rsid w:val="00D770B7"/>
    <w:rsid w:val="00D8126E"/>
    <w:rsid w:val="00D81ECE"/>
    <w:rsid w:val="00D82EF0"/>
    <w:rsid w:val="00D8476C"/>
    <w:rsid w:val="00D91FE7"/>
    <w:rsid w:val="00D929A6"/>
    <w:rsid w:val="00D96F3A"/>
    <w:rsid w:val="00DA06BB"/>
    <w:rsid w:val="00DA0768"/>
    <w:rsid w:val="00DA1109"/>
    <w:rsid w:val="00DA1EFE"/>
    <w:rsid w:val="00DA2705"/>
    <w:rsid w:val="00DB0CF4"/>
    <w:rsid w:val="00DB3B6F"/>
    <w:rsid w:val="00DC1FF5"/>
    <w:rsid w:val="00DC20F6"/>
    <w:rsid w:val="00DC31A9"/>
    <w:rsid w:val="00DC5816"/>
    <w:rsid w:val="00DD19FA"/>
    <w:rsid w:val="00DD2483"/>
    <w:rsid w:val="00DD470C"/>
    <w:rsid w:val="00DD511F"/>
    <w:rsid w:val="00DD544D"/>
    <w:rsid w:val="00DD6164"/>
    <w:rsid w:val="00DD7256"/>
    <w:rsid w:val="00DE0008"/>
    <w:rsid w:val="00DE05F9"/>
    <w:rsid w:val="00DE0648"/>
    <w:rsid w:val="00DE287B"/>
    <w:rsid w:val="00DE6B02"/>
    <w:rsid w:val="00DE70B7"/>
    <w:rsid w:val="00DE7447"/>
    <w:rsid w:val="00DF026A"/>
    <w:rsid w:val="00DF0534"/>
    <w:rsid w:val="00DF0E70"/>
    <w:rsid w:val="00DF5026"/>
    <w:rsid w:val="00DF6168"/>
    <w:rsid w:val="00DF77FC"/>
    <w:rsid w:val="00DF7E9D"/>
    <w:rsid w:val="00E01BF3"/>
    <w:rsid w:val="00E02939"/>
    <w:rsid w:val="00E02F24"/>
    <w:rsid w:val="00E0431C"/>
    <w:rsid w:val="00E06E06"/>
    <w:rsid w:val="00E07E5E"/>
    <w:rsid w:val="00E10C3A"/>
    <w:rsid w:val="00E119B6"/>
    <w:rsid w:val="00E13840"/>
    <w:rsid w:val="00E13951"/>
    <w:rsid w:val="00E14E29"/>
    <w:rsid w:val="00E20C10"/>
    <w:rsid w:val="00E21AE5"/>
    <w:rsid w:val="00E26B25"/>
    <w:rsid w:val="00E27D07"/>
    <w:rsid w:val="00E327A9"/>
    <w:rsid w:val="00E3338E"/>
    <w:rsid w:val="00E334E3"/>
    <w:rsid w:val="00E35044"/>
    <w:rsid w:val="00E359C7"/>
    <w:rsid w:val="00E35B1F"/>
    <w:rsid w:val="00E362A8"/>
    <w:rsid w:val="00E3736D"/>
    <w:rsid w:val="00E41FB4"/>
    <w:rsid w:val="00E4301E"/>
    <w:rsid w:val="00E43E69"/>
    <w:rsid w:val="00E45189"/>
    <w:rsid w:val="00E45243"/>
    <w:rsid w:val="00E453EA"/>
    <w:rsid w:val="00E4596A"/>
    <w:rsid w:val="00E46261"/>
    <w:rsid w:val="00E47973"/>
    <w:rsid w:val="00E502FD"/>
    <w:rsid w:val="00E50590"/>
    <w:rsid w:val="00E514FC"/>
    <w:rsid w:val="00E54151"/>
    <w:rsid w:val="00E542B0"/>
    <w:rsid w:val="00E5521A"/>
    <w:rsid w:val="00E55258"/>
    <w:rsid w:val="00E56491"/>
    <w:rsid w:val="00E566A4"/>
    <w:rsid w:val="00E60A58"/>
    <w:rsid w:val="00E614E1"/>
    <w:rsid w:val="00E64F15"/>
    <w:rsid w:val="00E65C1B"/>
    <w:rsid w:val="00E66D58"/>
    <w:rsid w:val="00E7042B"/>
    <w:rsid w:val="00E714E4"/>
    <w:rsid w:val="00E73683"/>
    <w:rsid w:val="00E74ACA"/>
    <w:rsid w:val="00E80EAB"/>
    <w:rsid w:val="00E81294"/>
    <w:rsid w:val="00E81E24"/>
    <w:rsid w:val="00E82024"/>
    <w:rsid w:val="00E82297"/>
    <w:rsid w:val="00E830D8"/>
    <w:rsid w:val="00E8316E"/>
    <w:rsid w:val="00E83DF3"/>
    <w:rsid w:val="00E85348"/>
    <w:rsid w:val="00E86745"/>
    <w:rsid w:val="00E90010"/>
    <w:rsid w:val="00E92B3A"/>
    <w:rsid w:val="00E932CD"/>
    <w:rsid w:val="00E94017"/>
    <w:rsid w:val="00E943C6"/>
    <w:rsid w:val="00E946F8"/>
    <w:rsid w:val="00EA11EB"/>
    <w:rsid w:val="00EA1B57"/>
    <w:rsid w:val="00EA2509"/>
    <w:rsid w:val="00EA2A65"/>
    <w:rsid w:val="00EA3287"/>
    <w:rsid w:val="00EA6792"/>
    <w:rsid w:val="00EA6DA4"/>
    <w:rsid w:val="00EB0642"/>
    <w:rsid w:val="00EB1383"/>
    <w:rsid w:val="00EB1A85"/>
    <w:rsid w:val="00EB1BAB"/>
    <w:rsid w:val="00EB345F"/>
    <w:rsid w:val="00EB5454"/>
    <w:rsid w:val="00EB6013"/>
    <w:rsid w:val="00EB63C1"/>
    <w:rsid w:val="00EB6499"/>
    <w:rsid w:val="00EB64FC"/>
    <w:rsid w:val="00EB72EE"/>
    <w:rsid w:val="00EB73DE"/>
    <w:rsid w:val="00EB7E6E"/>
    <w:rsid w:val="00EC0089"/>
    <w:rsid w:val="00EC2525"/>
    <w:rsid w:val="00EC5CA3"/>
    <w:rsid w:val="00ED1FA2"/>
    <w:rsid w:val="00ED1FCB"/>
    <w:rsid w:val="00ED303F"/>
    <w:rsid w:val="00ED43F0"/>
    <w:rsid w:val="00ED48A5"/>
    <w:rsid w:val="00ED5600"/>
    <w:rsid w:val="00ED573E"/>
    <w:rsid w:val="00ED669D"/>
    <w:rsid w:val="00EE0ECF"/>
    <w:rsid w:val="00EE1434"/>
    <w:rsid w:val="00EE178B"/>
    <w:rsid w:val="00EE2ABD"/>
    <w:rsid w:val="00EE5481"/>
    <w:rsid w:val="00EE5732"/>
    <w:rsid w:val="00EE7270"/>
    <w:rsid w:val="00EE7956"/>
    <w:rsid w:val="00EF16B6"/>
    <w:rsid w:val="00EF21E4"/>
    <w:rsid w:val="00EF2F5F"/>
    <w:rsid w:val="00F00038"/>
    <w:rsid w:val="00F00EC0"/>
    <w:rsid w:val="00F01448"/>
    <w:rsid w:val="00F020DB"/>
    <w:rsid w:val="00F024A1"/>
    <w:rsid w:val="00F04432"/>
    <w:rsid w:val="00F0486A"/>
    <w:rsid w:val="00F0715F"/>
    <w:rsid w:val="00F10290"/>
    <w:rsid w:val="00F10962"/>
    <w:rsid w:val="00F109D0"/>
    <w:rsid w:val="00F163D7"/>
    <w:rsid w:val="00F215F3"/>
    <w:rsid w:val="00F22425"/>
    <w:rsid w:val="00F23334"/>
    <w:rsid w:val="00F23710"/>
    <w:rsid w:val="00F24856"/>
    <w:rsid w:val="00F26BF8"/>
    <w:rsid w:val="00F26D00"/>
    <w:rsid w:val="00F30D3F"/>
    <w:rsid w:val="00F33920"/>
    <w:rsid w:val="00F33E8A"/>
    <w:rsid w:val="00F415B0"/>
    <w:rsid w:val="00F42331"/>
    <w:rsid w:val="00F43D2A"/>
    <w:rsid w:val="00F44539"/>
    <w:rsid w:val="00F44568"/>
    <w:rsid w:val="00F4574C"/>
    <w:rsid w:val="00F4739A"/>
    <w:rsid w:val="00F479AA"/>
    <w:rsid w:val="00F50C75"/>
    <w:rsid w:val="00F50CE7"/>
    <w:rsid w:val="00F50F3F"/>
    <w:rsid w:val="00F52103"/>
    <w:rsid w:val="00F53279"/>
    <w:rsid w:val="00F54157"/>
    <w:rsid w:val="00F54B05"/>
    <w:rsid w:val="00F56FEE"/>
    <w:rsid w:val="00F576A8"/>
    <w:rsid w:val="00F57CFD"/>
    <w:rsid w:val="00F60C8F"/>
    <w:rsid w:val="00F614B2"/>
    <w:rsid w:val="00F61751"/>
    <w:rsid w:val="00F61AA2"/>
    <w:rsid w:val="00F62077"/>
    <w:rsid w:val="00F62B85"/>
    <w:rsid w:val="00F70847"/>
    <w:rsid w:val="00F7143F"/>
    <w:rsid w:val="00F71DDC"/>
    <w:rsid w:val="00F721E0"/>
    <w:rsid w:val="00F729AA"/>
    <w:rsid w:val="00F772E6"/>
    <w:rsid w:val="00F814A4"/>
    <w:rsid w:val="00F825F3"/>
    <w:rsid w:val="00F83BC6"/>
    <w:rsid w:val="00F83C5D"/>
    <w:rsid w:val="00F8469D"/>
    <w:rsid w:val="00F86150"/>
    <w:rsid w:val="00F87782"/>
    <w:rsid w:val="00F90BBF"/>
    <w:rsid w:val="00F92053"/>
    <w:rsid w:val="00F928AC"/>
    <w:rsid w:val="00F92FE7"/>
    <w:rsid w:val="00F93F10"/>
    <w:rsid w:val="00F94787"/>
    <w:rsid w:val="00F95F59"/>
    <w:rsid w:val="00F97414"/>
    <w:rsid w:val="00F97674"/>
    <w:rsid w:val="00F97D7C"/>
    <w:rsid w:val="00FA06BD"/>
    <w:rsid w:val="00FA06F2"/>
    <w:rsid w:val="00FA2BDA"/>
    <w:rsid w:val="00FA3650"/>
    <w:rsid w:val="00FA4C33"/>
    <w:rsid w:val="00FA6033"/>
    <w:rsid w:val="00FA7B02"/>
    <w:rsid w:val="00FB2301"/>
    <w:rsid w:val="00FB271E"/>
    <w:rsid w:val="00FB3BA9"/>
    <w:rsid w:val="00FB4B86"/>
    <w:rsid w:val="00FB6E71"/>
    <w:rsid w:val="00FB78BC"/>
    <w:rsid w:val="00FC0A0C"/>
    <w:rsid w:val="00FC4B6F"/>
    <w:rsid w:val="00FC66BC"/>
    <w:rsid w:val="00FC6E8E"/>
    <w:rsid w:val="00FD04C9"/>
    <w:rsid w:val="00FD12CF"/>
    <w:rsid w:val="00FD1DCA"/>
    <w:rsid w:val="00FD36EE"/>
    <w:rsid w:val="00FD3C5C"/>
    <w:rsid w:val="00FD6B69"/>
    <w:rsid w:val="00FE281A"/>
    <w:rsid w:val="00FE4382"/>
    <w:rsid w:val="00FE43EC"/>
    <w:rsid w:val="00FE72FF"/>
    <w:rsid w:val="00FF2134"/>
    <w:rsid w:val="00FF5F9B"/>
    <w:rsid w:val="00FF6948"/>
    <w:rsid w:val="00FF6A31"/>
    <w:rsid w:val="00FF7067"/>
    <w:rsid w:val="0241F986"/>
    <w:rsid w:val="0248854B"/>
    <w:rsid w:val="024A6EF3"/>
    <w:rsid w:val="029C4FDC"/>
    <w:rsid w:val="02E50E83"/>
    <w:rsid w:val="035F37BF"/>
    <w:rsid w:val="04A3C50F"/>
    <w:rsid w:val="04E037FB"/>
    <w:rsid w:val="0532D259"/>
    <w:rsid w:val="05F60AFA"/>
    <w:rsid w:val="06DAF0B3"/>
    <w:rsid w:val="0805E268"/>
    <w:rsid w:val="08375CFB"/>
    <w:rsid w:val="083DF97F"/>
    <w:rsid w:val="087ABC6B"/>
    <w:rsid w:val="09337F2A"/>
    <w:rsid w:val="0A40F814"/>
    <w:rsid w:val="0A47171E"/>
    <w:rsid w:val="0B8FF0F5"/>
    <w:rsid w:val="0CABC615"/>
    <w:rsid w:val="0DA5A589"/>
    <w:rsid w:val="100855EC"/>
    <w:rsid w:val="103D40F4"/>
    <w:rsid w:val="11ADA329"/>
    <w:rsid w:val="12265976"/>
    <w:rsid w:val="13125C79"/>
    <w:rsid w:val="13544857"/>
    <w:rsid w:val="13EE0760"/>
    <w:rsid w:val="140E76D4"/>
    <w:rsid w:val="144CB9C5"/>
    <w:rsid w:val="15240347"/>
    <w:rsid w:val="152A16E2"/>
    <w:rsid w:val="154714AA"/>
    <w:rsid w:val="159CA1B3"/>
    <w:rsid w:val="15A7A2E9"/>
    <w:rsid w:val="15D48184"/>
    <w:rsid w:val="160EC8C9"/>
    <w:rsid w:val="168E9595"/>
    <w:rsid w:val="16E2E50B"/>
    <w:rsid w:val="16E7EFF7"/>
    <w:rsid w:val="1743EEA4"/>
    <w:rsid w:val="1763BC6D"/>
    <w:rsid w:val="181040A3"/>
    <w:rsid w:val="198DA6A2"/>
    <w:rsid w:val="1A065FB8"/>
    <w:rsid w:val="1A2F0E76"/>
    <w:rsid w:val="1C49F6FF"/>
    <w:rsid w:val="1C58314C"/>
    <w:rsid w:val="1DB2B4CE"/>
    <w:rsid w:val="1DE5C760"/>
    <w:rsid w:val="1F168924"/>
    <w:rsid w:val="1F4E852F"/>
    <w:rsid w:val="1F64E403"/>
    <w:rsid w:val="21AD2B7B"/>
    <w:rsid w:val="21CFB3CE"/>
    <w:rsid w:val="2245023E"/>
    <w:rsid w:val="22CF5F5B"/>
    <w:rsid w:val="22E8AA43"/>
    <w:rsid w:val="231F9CD4"/>
    <w:rsid w:val="235486E1"/>
    <w:rsid w:val="23A7BEEC"/>
    <w:rsid w:val="25862DBA"/>
    <w:rsid w:val="273B814E"/>
    <w:rsid w:val="27518C4E"/>
    <w:rsid w:val="28942AF9"/>
    <w:rsid w:val="289AE98F"/>
    <w:rsid w:val="28FE8174"/>
    <w:rsid w:val="29C3C865"/>
    <w:rsid w:val="29DE8EAE"/>
    <w:rsid w:val="2A0089E6"/>
    <w:rsid w:val="2B94B6CA"/>
    <w:rsid w:val="2B957020"/>
    <w:rsid w:val="2D07A2CD"/>
    <w:rsid w:val="2E728E33"/>
    <w:rsid w:val="2EA5B290"/>
    <w:rsid w:val="2EC9500C"/>
    <w:rsid w:val="2F4CF6F3"/>
    <w:rsid w:val="2F9FA911"/>
    <w:rsid w:val="3109B443"/>
    <w:rsid w:val="324E1916"/>
    <w:rsid w:val="3328E67D"/>
    <w:rsid w:val="3500EC61"/>
    <w:rsid w:val="373C22FC"/>
    <w:rsid w:val="37B26883"/>
    <w:rsid w:val="38467893"/>
    <w:rsid w:val="3856F649"/>
    <w:rsid w:val="39A24E22"/>
    <w:rsid w:val="3A722087"/>
    <w:rsid w:val="3D81BBF5"/>
    <w:rsid w:val="3E7134F7"/>
    <w:rsid w:val="3F083F5E"/>
    <w:rsid w:val="400D0558"/>
    <w:rsid w:val="43D4F380"/>
    <w:rsid w:val="46327E63"/>
    <w:rsid w:val="464FAE01"/>
    <w:rsid w:val="46594A6D"/>
    <w:rsid w:val="46B09E32"/>
    <w:rsid w:val="4721AA17"/>
    <w:rsid w:val="47A1B5E9"/>
    <w:rsid w:val="481B7D96"/>
    <w:rsid w:val="489A75A9"/>
    <w:rsid w:val="48E5C0ED"/>
    <w:rsid w:val="498616E2"/>
    <w:rsid w:val="4A8A42A8"/>
    <w:rsid w:val="4ACA2949"/>
    <w:rsid w:val="4B1AAC34"/>
    <w:rsid w:val="4B2BC9CB"/>
    <w:rsid w:val="4BE876A7"/>
    <w:rsid w:val="4C34283A"/>
    <w:rsid w:val="4D4614AA"/>
    <w:rsid w:val="4ECA7283"/>
    <w:rsid w:val="4FD2F0A8"/>
    <w:rsid w:val="506A0C22"/>
    <w:rsid w:val="51B741AA"/>
    <w:rsid w:val="51EC4F7F"/>
    <w:rsid w:val="5244F5EA"/>
    <w:rsid w:val="52C4E73F"/>
    <w:rsid w:val="52ECD6DC"/>
    <w:rsid w:val="54F4FA81"/>
    <w:rsid w:val="55F82C9E"/>
    <w:rsid w:val="56E98C5E"/>
    <w:rsid w:val="57A40FC0"/>
    <w:rsid w:val="583E9F25"/>
    <w:rsid w:val="58949F58"/>
    <w:rsid w:val="58A58020"/>
    <w:rsid w:val="58FF3DBB"/>
    <w:rsid w:val="591F837F"/>
    <w:rsid w:val="593165F9"/>
    <w:rsid w:val="598E886E"/>
    <w:rsid w:val="5B57247B"/>
    <w:rsid w:val="5DD11B04"/>
    <w:rsid w:val="5E2B6227"/>
    <w:rsid w:val="5EC293CF"/>
    <w:rsid w:val="5ED64BE2"/>
    <w:rsid w:val="6103A8CA"/>
    <w:rsid w:val="63F591AA"/>
    <w:rsid w:val="6420A9A4"/>
    <w:rsid w:val="64300C72"/>
    <w:rsid w:val="656484F4"/>
    <w:rsid w:val="66F9C673"/>
    <w:rsid w:val="68317D64"/>
    <w:rsid w:val="68C7CD82"/>
    <w:rsid w:val="68DD8220"/>
    <w:rsid w:val="68FB6F97"/>
    <w:rsid w:val="690B49A8"/>
    <w:rsid w:val="69480310"/>
    <w:rsid w:val="69562091"/>
    <w:rsid w:val="6AF1F0F2"/>
    <w:rsid w:val="6B5F349C"/>
    <w:rsid w:val="6B6E7735"/>
    <w:rsid w:val="6B9FFC68"/>
    <w:rsid w:val="6C86D005"/>
    <w:rsid w:val="6C8DC153"/>
    <w:rsid w:val="6D03EDA7"/>
    <w:rsid w:val="6E2991B4"/>
    <w:rsid w:val="6F460609"/>
    <w:rsid w:val="6FECBED1"/>
    <w:rsid w:val="704D397A"/>
    <w:rsid w:val="707CD9D3"/>
    <w:rsid w:val="716242E8"/>
    <w:rsid w:val="7177AC9F"/>
    <w:rsid w:val="728D37F9"/>
    <w:rsid w:val="74595ADC"/>
    <w:rsid w:val="755D4F1C"/>
    <w:rsid w:val="75613B61"/>
    <w:rsid w:val="75F99286"/>
    <w:rsid w:val="75FB0717"/>
    <w:rsid w:val="767DACBF"/>
    <w:rsid w:val="7793B0FD"/>
    <w:rsid w:val="788C394D"/>
    <w:rsid w:val="7B781A42"/>
    <w:rsid w:val="7C5D0A86"/>
    <w:rsid w:val="7D9D0BE3"/>
    <w:rsid w:val="7E0D6FBD"/>
    <w:rsid w:val="7E57FBAE"/>
    <w:rsid w:val="7ECE701A"/>
    <w:rsid w:val="7F8BF0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991CA"/>
  <w15:docId w15:val="{515F7E00-9181-48D9-ADB2-0812E02A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63C77"/>
  </w:style>
  <w:style w:type="paragraph" w:styleId="Heading1">
    <w:name w:val="heading 1"/>
    <w:aliases w:val="H1"/>
    <w:basedOn w:val="Normal"/>
    <w:next w:val="Normal"/>
    <w:link w:val="Heading1Char"/>
    <w:uiPriority w:val="1"/>
    <w:qFormat/>
    <w:rsid w:val="00447AE3"/>
    <w:pPr>
      <w:keepNext/>
      <w:keepLines/>
      <w:pageBreakBefore/>
      <w:suppressAutoHyphens/>
      <w:spacing w:after="480"/>
      <w:outlineLvl w:val="0"/>
    </w:pPr>
    <w:rPr>
      <w:rFonts w:asciiTheme="majorHAnsi" w:eastAsiaTheme="majorEastAsia" w:hAnsiTheme="majorHAnsi" w:cstheme="majorBidi"/>
      <w:b/>
      <w:color w:val="0D0086" w:themeColor="text2"/>
      <w:spacing w:val="-24"/>
      <w:sz w:val="68"/>
      <w:szCs w:val="32"/>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5D3EAF"/>
    <w:rPr>
      <w:color w:val="808080"/>
    </w:rPr>
  </w:style>
  <w:style w:type="character" w:customStyle="1" w:styleId="Heading1Char">
    <w:name w:val="Heading 1 Char"/>
    <w:aliases w:val="H1 Char"/>
    <w:basedOn w:val="DefaultParagraphFont"/>
    <w:link w:val="Heading1"/>
    <w:uiPriority w:val="1"/>
    <w:rsid w:val="00447AE3"/>
    <w:rPr>
      <w:rFonts w:asciiTheme="majorHAnsi" w:eastAsiaTheme="majorEastAsia" w:hAnsiTheme="majorHAnsi" w:cstheme="majorBidi"/>
      <w:b/>
      <w:color w:val="0D0086" w:themeColor="text2"/>
      <w:spacing w:val="-24"/>
      <w:sz w:val="68"/>
      <w:szCs w:val="32"/>
    </w:rPr>
  </w:style>
  <w:style w:type="paragraph" w:styleId="Subtitle">
    <w:name w:val="Subtitle"/>
    <w:basedOn w:val="Normal"/>
    <w:next w:val="Normal"/>
    <w:link w:val="SubtitleChar"/>
    <w:autoRedefine/>
    <w:uiPriority w:val="11"/>
    <w:rsid w:val="00076E1E"/>
    <w:pPr>
      <w:numPr>
        <w:ilvl w:val="1"/>
      </w:numPr>
      <w:spacing w:after="480"/>
    </w:pPr>
    <w:rPr>
      <w:rFonts w:eastAsiaTheme="minorEastAsia"/>
      <w:spacing w:val="15"/>
      <w:sz w:val="64"/>
    </w:rPr>
  </w:style>
  <w:style w:type="character" w:customStyle="1" w:styleId="SubtitleChar">
    <w:name w:val="Subtitle Char"/>
    <w:basedOn w:val="DefaultParagraphFont"/>
    <w:link w:val="Subtitle"/>
    <w:uiPriority w:val="11"/>
    <w:rsid w:val="00076E1E"/>
    <w:rPr>
      <w:rFonts w:eastAsiaTheme="minorEastAsia"/>
      <w:spacing w:val="15"/>
      <w:sz w:val="64"/>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B86F6B"/>
    <w:pPr>
      <w:tabs>
        <w:tab w:val="center" w:pos="4513"/>
        <w:tab w:val="right" w:pos="9026"/>
      </w:tabs>
      <w:spacing w:after="0" w:line="240" w:lineRule="auto"/>
    </w:p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0B6BC5"/>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semiHidden/>
    <w:rsid w:val="006001A1"/>
    <w:pPr>
      <w:numPr>
        <w:numId w:val="1"/>
      </w:numPr>
      <w:contextualSpacing/>
    </w:pPr>
  </w:style>
  <w:style w:type="paragraph" w:customStyle="1" w:styleId="Bullist">
    <w:name w:val="Bul list"/>
    <w:basedOn w:val="ListParagraph"/>
    <w:uiPriority w:val="3"/>
    <w:qFormat/>
    <w:rsid w:val="000D0B71"/>
    <w:pPr>
      <w:numPr>
        <w:numId w:val="2"/>
      </w:numPr>
      <w:ind w:left="714" w:hanging="357"/>
    </w:pPr>
  </w:style>
  <w:style w:type="paragraph" w:customStyle="1" w:styleId="Numlist">
    <w:name w:val="Num list"/>
    <w:basedOn w:val="ListParagraph"/>
    <w:uiPriority w:val="3"/>
    <w:qFormat/>
    <w:rsid w:val="006D654F"/>
    <w:pPr>
      <w:ind w:left="714" w:hanging="357"/>
      <w:contextualSpacing w:val="0"/>
    </w:pPr>
  </w:style>
  <w:style w:type="paragraph" w:customStyle="1" w:styleId="Footer-page-number">
    <w:name w:val="Footer-page-number"/>
    <w:basedOn w:val="Footer"/>
    <w:link w:val="Footer-page-numberChar"/>
    <w:rsid w:val="002D49F5"/>
    <w:rPr>
      <w:b/>
      <w:noProof w:val="0"/>
      <w:color w:val="0D0086"/>
    </w:rPr>
  </w:style>
  <w:style w:type="character" w:customStyle="1" w:styleId="Footer-page-numberChar">
    <w:name w:val="Footer-page-number Char"/>
    <w:basedOn w:val="FooterChar"/>
    <w:link w:val="Footer-page-number"/>
    <w:rsid w:val="002D49F5"/>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A410A6"/>
    <w:pPr>
      <w:tabs>
        <w:tab w:val="left" w:pos="170"/>
      </w:tabs>
      <w:spacing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A410A6"/>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pageBreakBefore w:val="0"/>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CD6919"/>
    <w:pPr>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CommentReference">
    <w:name w:val="annotation reference"/>
    <w:basedOn w:val="DefaultParagraphFont"/>
    <w:uiPriority w:val="99"/>
    <w:semiHidden/>
    <w:rsid w:val="00915558"/>
    <w:rPr>
      <w:sz w:val="16"/>
      <w:szCs w:val="16"/>
    </w:rPr>
  </w:style>
  <w:style w:type="paragraph" w:styleId="CommentText">
    <w:name w:val="annotation text"/>
    <w:basedOn w:val="Normal"/>
    <w:link w:val="CommentTextChar"/>
    <w:uiPriority w:val="99"/>
    <w:semiHidden/>
    <w:rsid w:val="00915558"/>
    <w:pPr>
      <w:spacing w:line="240" w:lineRule="auto"/>
    </w:pPr>
    <w:rPr>
      <w:sz w:val="20"/>
      <w:szCs w:val="20"/>
    </w:rPr>
  </w:style>
  <w:style w:type="character" w:customStyle="1" w:styleId="CommentTextChar">
    <w:name w:val="Comment Text Char"/>
    <w:basedOn w:val="DefaultParagraphFont"/>
    <w:link w:val="CommentText"/>
    <w:uiPriority w:val="99"/>
    <w:semiHidden/>
    <w:rsid w:val="00915558"/>
    <w:rPr>
      <w:sz w:val="20"/>
      <w:szCs w:val="20"/>
    </w:rPr>
  </w:style>
  <w:style w:type="paragraph" w:styleId="CommentSubject">
    <w:name w:val="annotation subject"/>
    <w:basedOn w:val="CommentText"/>
    <w:next w:val="CommentText"/>
    <w:link w:val="CommentSubjectChar"/>
    <w:uiPriority w:val="99"/>
    <w:semiHidden/>
    <w:rsid w:val="00915558"/>
    <w:rPr>
      <w:b/>
      <w:bCs/>
    </w:rPr>
  </w:style>
  <w:style w:type="character" w:customStyle="1" w:styleId="CommentSubjectChar">
    <w:name w:val="Comment Subject Char"/>
    <w:basedOn w:val="CommentTextChar"/>
    <w:link w:val="CommentSubject"/>
    <w:uiPriority w:val="99"/>
    <w:semiHidden/>
    <w:rsid w:val="00915558"/>
    <w:rPr>
      <w:b/>
      <w:bCs/>
      <w:sz w:val="20"/>
      <w:szCs w:val="20"/>
    </w:rPr>
  </w:style>
  <w:style w:type="character" w:customStyle="1" w:styleId="cf01">
    <w:name w:val="cf01"/>
    <w:basedOn w:val="DefaultParagraphFont"/>
    <w:rsid w:val="00507769"/>
    <w:rPr>
      <w:rFonts w:ascii="Segoe UI" w:hAnsi="Segoe UI" w:cs="Segoe UI" w:hint="default"/>
      <w:color w:val="414042"/>
      <w:sz w:val="18"/>
      <w:szCs w:val="18"/>
    </w:rPr>
  </w:style>
  <w:style w:type="character" w:styleId="Mention">
    <w:name w:val="Mention"/>
    <w:basedOn w:val="DefaultParagraphFont"/>
    <w:uiPriority w:val="99"/>
    <w:semiHidden/>
    <w:rsid w:val="00C561D5"/>
    <w:rPr>
      <w:color w:val="2B579A"/>
      <w:shd w:val="clear" w:color="auto" w:fill="E1DFDD"/>
    </w:rPr>
  </w:style>
  <w:style w:type="paragraph" w:customStyle="1" w:styleId="Body">
    <w:name w:val="• Body"/>
    <w:basedOn w:val="Normal"/>
    <w:qFormat/>
    <w:rsid w:val="00763344"/>
    <w:pPr>
      <w:spacing w:after="320" w:line="320" w:lineRule="atLeast"/>
    </w:pPr>
    <w:rPr>
      <w:rFonts w:cs="Arial MT Black"/>
      <w:color w:val="414042" w:themeColor="text1"/>
      <w:sz w:val="20"/>
      <w:szCs w:val="20"/>
      <w:u w:color="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638685577">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 w:id="211636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ustrans.org.uk/the-walking-and-cycling-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musgrove\Downloads\2023%20Word%20Template%20noguidance.dotx" TargetMode="External"/></Relationship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5" ma:contentTypeDescription="Create a new document." ma:contentTypeScope="" ma:versionID="376cdf621f73eb10f36dc3ecd1e22df3">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09ee6babd4953e19eba6f43de8ebe4d7"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581366-8466-4fdf-8239-8322e92618aa}"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581366-8466-4fdf-8239-8322e92618aa}"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5</Value>
      <Value>2</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SharedWithUsers xmlns="a158f8fd-1a16-459d-b11e-b73c8f354f56">
      <UserInfo>
        <DisplayName>SharingLinks.1d12b572-26ae-43d9-9852-2e2bfb9e89ca.OrganizationEdit.c6f2c369-4807-490c-8400-a4a3b1897970</DisplayName>
        <AccountId>54</AccountId>
        <AccountType/>
      </UserInfo>
      <UserInfo>
        <DisplayName>Dunja Reed</DisplayName>
        <AccountId>13</AccountId>
        <AccountType/>
      </UserInfo>
      <UserInfo>
        <DisplayName>Jess Cessford</DisplayName>
        <AccountId>152</AccountId>
        <AccountType/>
      </UserInfo>
      <UserInfo>
        <DisplayName>Angela Holt</DisplayName>
        <AccountId>44</AccountId>
        <AccountType/>
      </UserInfo>
      <UserInfo>
        <DisplayName>Helen Creasy</DisplayName>
        <AccountId>263</AccountId>
        <AccountType/>
      </UserInfo>
      <UserInfo>
        <DisplayName>Alison Griffiths</DisplayName>
        <AccountId>12</AccountId>
        <AccountType/>
      </UserInfo>
      <UserInfo>
        <DisplayName>Katy Spencer</DisplayName>
        <AccountId>285</AccountId>
        <AccountType/>
      </UserInfo>
      <UserInfo>
        <DisplayName>Arthur Girling</DisplayName>
        <AccountId>288</AccountId>
        <AccountType/>
      </UserInfo>
      <UserInfo>
        <DisplayName>Tim Burns</DisplayName>
        <AccountId>17</AccountId>
        <AccountType/>
      </UserInfo>
      <UserInfo>
        <DisplayName>Matthew Pearce</DisplayName>
        <AccountId>21</AccountId>
        <AccountType/>
      </UserInfo>
      <UserInfo>
        <DisplayName>George Macklon</DisplayName>
        <AccountId>139</AccountId>
        <AccountType/>
      </UserInfo>
      <UserInfo>
        <DisplayName>Holly Musgrove</DisplayName>
        <AccountId>55</AccountId>
        <AccountType/>
      </UserInfo>
    </SharedWithUsers>
  </documentManagement>
</p:properti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191D-1970-4886-B61D-888FDFEA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3.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f917c584-929f-43e3-ac18-152c6a911a9d"/>
    <ds:schemaRef ds:uri="a158f8fd-1a16-459d-b11e-b73c8f354f56"/>
  </ds:schemaRefs>
</ds:datastoreItem>
</file>

<file path=customXml/itemProps4.xml><?xml version="1.0" encoding="utf-8"?>
<ds:datastoreItem xmlns:ds="http://schemas.openxmlformats.org/officeDocument/2006/customXml" ds:itemID="{794D07B9-4774-4E6D-9B98-46D3E48A29E2}">
  <ds:schemaRefs>
    <ds:schemaRef ds:uri="Microsoft.SharePoint.Taxonomy.ContentTypeSync"/>
  </ds:schemaRefs>
</ds:datastoreItem>
</file>

<file path=customXml/itemProps5.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Word Template noguidance.dotx</Template>
  <TotalTime>21</TotalTime>
  <Pages>12</Pages>
  <Words>2265</Words>
  <Characters>12915</Characters>
  <Application>Microsoft Office Word</Application>
  <DocSecurity>0</DocSecurity>
  <Lines>107</Lines>
  <Paragraphs>30</Paragraphs>
  <ScaleCrop>false</ScaleCrop>
  <Company>Sustrans</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a title</dc:title>
  <dc:subject/>
  <dc:creator>Holly Musgrove</dc:creator>
  <cp:keywords/>
  <dc:description/>
  <cp:lastModifiedBy>Matthew Pearce</cp:lastModifiedBy>
  <cp:revision>419</cp:revision>
  <cp:lastPrinted>2023-02-24T00:49:00Z</cp:lastPrinted>
  <dcterms:created xsi:type="dcterms:W3CDTF">2024-08-01T23:11:00Z</dcterms:created>
  <dcterms:modified xsi:type="dcterms:W3CDTF">2024-09-05T12:45:00Z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r8>3834400</vt:r8>
  </property>
  <property fmtid="{D5CDD505-2E9C-101B-9397-08002B2CF9AE}" pid="4" name="MediaServiceImageTags">
    <vt:lpwstr/>
  </property>
  <property fmtid="{D5CDD505-2E9C-101B-9397-08002B2CF9AE}" pid="5" name="GrammarlyDocumentId">
    <vt:lpwstr>4e5d06b5530a0fa062c7a4bfe5c80e2b89addd11b43e5ef340cb0c5bd4cc7110</vt:lpwstr>
  </property>
  <property fmtid="{D5CDD505-2E9C-101B-9397-08002B2CF9AE}" pid="6" name="Department Field">
    <vt:lpwstr>5;#Strategic Communications|2450ac74-7dc8-4ae6-bb51-192224346ea2</vt:lpwstr>
  </property>
  <property fmtid="{D5CDD505-2E9C-101B-9397-08002B2CF9AE}" pid="7" name="Location Field">
    <vt:lpwstr>2;#UK-wide|8bed7617-eda3-4ea7-a5b6-47d8e6d925a7</vt:lpwstr>
  </property>
</Properties>
</file>