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1D3C" w14:textId="61120CED" w:rsidR="002F6325" w:rsidRPr="002F6325" w:rsidRDefault="002F6325" w:rsidP="002F6325">
      <w:pPr>
        <w:pStyle w:val="Heading1"/>
        <w:ind w:right="-1"/>
        <w:rPr>
          <w:sz w:val="96"/>
          <w:szCs w:val="96"/>
        </w:rPr>
      </w:pPr>
      <w:r w:rsidRPr="002F6325">
        <w:rPr>
          <w:sz w:val="96"/>
          <w:szCs w:val="96"/>
        </w:rPr>
        <w:t>Walkable neighbourhoods</w:t>
      </w:r>
      <w:r>
        <w:rPr>
          <w:sz w:val="96"/>
          <w:szCs w:val="96"/>
        </w:rPr>
        <w:br/>
      </w:r>
      <w:r w:rsidRPr="002F6325">
        <w:rPr>
          <w:sz w:val="72"/>
          <w:szCs w:val="72"/>
        </w:rPr>
        <w:t>Building in the right places to reduce car dependency</w:t>
      </w:r>
    </w:p>
    <w:p w14:paraId="29035F24" w14:textId="77777777" w:rsidR="002F6325" w:rsidRDefault="002F6325" w:rsidP="002F6325">
      <w:pPr>
        <w:ind w:right="-1"/>
      </w:pPr>
    </w:p>
    <w:p w14:paraId="0165A17A" w14:textId="6D4A319D" w:rsidR="002F6325" w:rsidRDefault="002F6325" w:rsidP="002F6325">
      <w:pPr>
        <w:ind w:right="-1"/>
      </w:pPr>
      <w:r>
        <w:t>This paper explores the extent to which the proximity of services is used as selection criteria by English local planning authorities when allocating sites for development.</w:t>
      </w:r>
    </w:p>
    <w:p w14:paraId="32F07E0B" w14:textId="77777777" w:rsidR="002F6325" w:rsidRDefault="002F6325" w:rsidP="002F6325">
      <w:pPr>
        <w:ind w:right="-1"/>
      </w:pPr>
      <w:r>
        <w:lastRenderedPageBreak/>
        <w:t>It highlights the lack of consistency in approach across England and makes recommendations for both UK Government and local government, with a view to ensuring that new development does not lock in car-dependency.</w:t>
      </w:r>
    </w:p>
    <w:p w14:paraId="4F2032BB" w14:textId="77777777" w:rsidR="002F6325" w:rsidRDefault="002F6325" w:rsidP="002F6325">
      <w:pPr>
        <w:ind w:right="-1"/>
      </w:pPr>
      <w:r>
        <w:t>Author: Megan Streb</w:t>
      </w:r>
    </w:p>
    <w:p w14:paraId="214700E5" w14:textId="77777777" w:rsidR="002F6325" w:rsidRDefault="002F6325" w:rsidP="002F6325">
      <w:pPr>
        <w:ind w:right="-1"/>
      </w:pPr>
      <w:r>
        <w:t>Date of publication: 16 May 2022</w:t>
      </w:r>
    </w:p>
    <w:p w14:paraId="3BFA21F7" w14:textId="77777777" w:rsidR="002F6325" w:rsidRDefault="002F6325" w:rsidP="002F6325">
      <w:pPr>
        <w:ind w:right="-1"/>
      </w:pPr>
      <w:r>
        <w:t>Sustrans</w:t>
      </w:r>
    </w:p>
    <w:p w14:paraId="05F5D33B" w14:textId="4E72A771" w:rsidR="002F6325" w:rsidRDefault="002F6325" w:rsidP="002F6325">
      <w:pPr>
        <w:ind w:right="-1"/>
      </w:pPr>
      <w:r>
        <w:t xml:space="preserve">Sustrans is the charity making it easier for people to walk and cycle. We connect people and places, create liveable neighbourhoods, transform the school run and deliver a happier, healthier commute. Join us on our journey. </w:t>
      </w:r>
      <w:hyperlink r:id="rId8" w:history="1">
        <w:r w:rsidRPr="00BA315A">
          <w:rPr>
            <w:rStyle w:val="Hyperlink"/>
          </w:rPr>
          <w:t>www.sustrans.org.uk</w:t>
        </w:r>
      </w:hyperlink>
    </w:p>
    <w:p w14:paraId="42B53163" w14:textId="77777777" w:rsidR="002F6325" w:rsidRDefault="002F6325" w:rsidP="002F6325">
      <w:pPr>
        <w:ind w:right="-1"/>
      </w:pPr>
      <w:r>
        <w:t>Sustrans is a registered charity no. 326550 (England and Wales) SC039263 (Scotland). © Sustrans</w:t>
      </w:r>
    </w:p>
    <w:p w14:paraId="3C346A39" w14:textId="77777777" w:rsidR="002F6325" w:rsidRDefault="002F6325" w:rsidP="002F6325">
      <w:pPr>
        <w:ind w:right="-1"/>
      </w:pPr>
      <w:r>
        <w:t>Cover photo: Jon Bewley/</w:t>
      </w:r>
      <w:proofErr w:type="spellStart"/>
      <w:r>
        <w:t>photojb</w:t>
      </w:r>
      <w:proofErr w:type="spellEnd"/>
    </w:p>
    <w:p w14:paraId="41DBDC95" w14:textId="77777777" w:rsidR="002F6325" w:rsidRDefault="002F6325" w:rsidP="002F6325">
      <w:pPr>
        <w:ind w:right="-1"/>
      </w:pPr>
    </w:p>
    <w:p w14:paraId="2AAA0BBC" w14:textId="77777777" w:rsidR="002F6325" w:rsidRDefault="002F6325" w:rsidP="002F6325">
      <w:pPr>
        <w:pStyle w:val="Heading2"/>
      </w:pPr>
      <w:r>
        <w:lastRenderedPageBreak/>
        <w:t>Executive summary</w:t>
      </w:r>
    </w:p>
    <w:p w14:paraId="5890E956" w14:textId="77777777" w:rsidR="002F6325" w:rsidRDefault="002F6325" w:rsidP="002F6325">
      <w:pPr>
        <w:pStyle w:val="Heading3"/>
      </w:pPr>
      <w:r>
        <w:t>Walking’s role in planning, net-zero and levelling up</w:t>
      </w:r>
    </w:p>
    <w:p w14:paraId="4A54715E" w14:textId="77777777" w:rsidR="002F6325" w:rsidRDefault="002F6325" w:rsidP="002F6325">
      <w:pPr>
        <w:ind w:right="-1"/>
      </w:pPr>
      <w:r>
        <w:t xml:space="preserve">Arguably the two biggest long-term challenges facing the UK today are the climate emergency and levelling-up. Currently, however, the planning system delivers new developments which work to the detriment of </w:t>
      </w:r>
      <w:proofErr w:type="gramStart"/>
      <w:r>
        <w:t>both of these</w:t>
      </w:r>
      <w:proofErr w:type="gramEnd"/>
      <w:r>
        <w:t xml:space="preserve">. </w:t>
      </w:r>
    </w:p>
    <w:p w14:paraId="248DF6EC" w14:textId="77777777" w:rsidR="002F6325" w:rsidRDefault="002F6325" w:rsidP="002F6325">
      <w:pPr>
        <w:ind w:right="-1"/>
      </w:pPr>
      <w:r>
        <w:t>This is because often we build in the wrong places; too far away from existing communities and services, and at densities too low to support everyday services or public transport routes within them. Here, the location and design of new developments mean that people need to rely on using a car for basic, everyday journeys.</w:t>
      </w:r>
    </w:p>
    <w:p w14:paraId="7546720E" w14:textId="77777777" w:rsidR="002F6325" w:rsidRDefault="002F6325" w:rsidP="002F6325">
      <w:pPr>
        <w:ind w:right="-1"/>
      </w:pPr>
      <w:r>
        <w:t>This is not just bad for the climate but, crucially, it also limits opportunities for people who don’t have access to a car, whether that’s missing out on a new job, a family party, or even access to affordable, healthy food.</w:t>
      </w:r>
    </w:p>
    <w:p w14:paraId="2A927760" w14:textId="77777777" w:rsidR="002F6325" w:rsidRDefault="002F6325" w:rsidP="002F6325">
      <w:pPr>
        <w:pStyle w:val="Heading3"/>
      </w:pPr>
      <w:r>
        <w:t>What’s wrong with current guidance?</w:t>
      </w:r>
    </w:p>
    <w:p w14:paraId="4FFA741E" w14:textId="77777777" w:rsidR="002F6325" w:rsidRDefault="002F6325" w:rsidP="002F6325">
      <w:pPr>
        <w:ind w:right="-1"/>
      </w:pPr>
      <w:r>
        <w:t xml:space="preserve">When journeys are short enough, most people walk. 800m, or approximately half a mile, is generally considered a standard walkable distance as it typically takes approximately 10 minutes to walk, and a </w:t>
      </w:r>
      <w:proofErr w:type="gramStart"/>
      <w:r>
        <w:t>20 minute</w:t>
      </w:r>
      <w:proofErr w:type="gramEnd"/>
      <w:r>
        <w:t xml:space="preserve"> walking trip (1,600m total) has been found to be the longest distance a majority of people are willing to walk to meet their daily needs.</w:t>
      </w:r>
    </w:p>
    <w:p w14:paraId="56457F5C" w14:textId="77777777" w:rsidR="002F6325" w:rsidRDefault="002F6325" w:rsidP="002F6325">
      <w:pPr>
        <w:ind w:right="-1"/>
      </w:pPr>
      <w:r>
        <w:t xml:space="preserve">However, many new developments aren’t within walking or wheeling distance of existing services, despite guidance being in place which encourages planners to do so. </w:t>
      </w:r>
    </w:p>
    <w:p w14:paraId="4333CBCE" w14:textId="77777777" w:rsidR="002F6325" w:rsidRDefault="002F6325" w:rsidP="002F6325">
      <w:pPr>
        <w:ind w:right="-1"/>
      </w:pPr>
      <w:r>
        <w:t xml:space="preserve">The National Planning Policy Framework (NPPF) has a social objective to support strong, </w:t>
      </w:r>
      <w:proofErr w:type="gramStart"/>
      <w:r>
        <w:t>vibrant</w:t>
      </w:r>
      <w:proofErr w:type="gramEnd"/>
      <w:r>
        <w:t xml:space="preserve"> and healthy communities and suggests development should be focused on locations that “offer a genuine choice of transport modes”. But this is not reflected in new developments delivered on the ground. </w:t>
      </w:r>
    </w:p>
    <w:p w14:paraId="351E8071" w14:textId="77777777" w:rsidR="002F6325" w:rsidRDefault="002F6325" w:rsidP="002F6325">
      <w:pPr>
        <w:ind w:right="-1"/>
      </w:pPr>
      <w:r>
        <w:t xml:space="preserve">Research exploring this problem has been undertaken by Megan Streb, formerly of Sustrans and currently of the thinktank Centre for Cities, to consider whether a consistent approach is used to assess walkable distances in site allocation. The study surveyed officers from 100 Local Planning Authorities (LPAs) in England and reviewed planning documents in seven LPAs. </w:t>
      </w:r>
    </w:p>
    <w:p w14:paraId="6E324A63" w14:textId="77777777" w:rsidR="002F6325" w:rsidRDefault="002F6325" w:rsidP="002F6325">
      <w:pPr>
        <w:pStyle w:val="Heading3"/>
      </w:pPr>
      <w:r>
        <w:t>Research results</w:t>
      </w:r>
    </w:p>
    <w:p w14:paraId="1A5CA1EB" w14:textId="77777777" w:rsidR="002F6325" w:rsidRDefault="002F6325" w:rsidP="002F6325">
      <w:pPr>
        <w:ind w:right="-1"/>
      </w:pPr>
      <w:r>
        <w:t>Most Local Planning Authorities do include access to services within their site allocation process in some way.</w:t>
      </w:r>
    </w:p>
    <w:p w14:paraId="6EBC61DA" w14:textId="77777777" w:rsidR="002F6325" w:rsidRDefault="002F6325" w:rsidP="002F6325">
      <w:pPr>
        <w:ind w:right="-1"/>
      </w:pPr>
      <w:r>
        <w:t>However, approaches to measure service accessibility by walking are inconsistent and do not align with evidence on actual walking distances.</w:t>
      </w:r>
    </w:p>
    <w:p w14:paraId="4C02CBD9" w14:textId="77777777" w:rsidR="002F6325" w:rsidRDefault="002F6325" w:rsidP="002F6325">
      <w:pPr>
        <w:ind w:right="-1"/>
      </w:pPr>
      <w:r>
        <w:t>Where walkable distance is considered, it is often not given priority in final decisions.</w:t>
      </w:r>
    </w:p>
    <w:p w14:paraId="22533427" w14:textId="77777777" w:rsidR="002F6325" w:rsidRDefault="002F6325" w:rsidP="002F6325">
      <w:pPr>
        <w:ind w:right="-1"/>
      </w:pPr>
      <w:r>
        <w:t>A lack of nationally recognised standards is a major barrier to using walking distances to reject sites where walking distance to services are too far.</w:t>
      </w:r>
    </w:p>
    <w:p w14:paraId="6D047A5B" w14:textId="77777777" w:rsidR="002F6325" w:rsidRDefault="002F6325" w:rsidP="002F6325">
      <w:pPr>
        <w:pStyle w:val="Heading3"/>
      </w:pPr>
      <w:r>
        <w:t>Recommendations</w:t>
      </w:r>
    </w:p>
    <w:p w14:paraId="5FD6EC1E" w14:textId="77777777" w:rsidR="002F6325" w:rsidRDefault="002F6325" w:rsidP="002F6325">
      <w:pPr>
        <w:ind w:right="-1"/>
      </w:pPr>
      <w:r>
        <w:t xml:space="preserve">The findings of this research show that walkable distances are not consistently considered or assessed in the site allocation process, with decisions often made without regard for evidence on the distances that most people are willing to walk or wheel to reach services. </w:t>
      </w:r>
    </w:p>
    <w:p w14:paraId="532D2CDD" w14:textId="77777777" w:rsidR="002F6325" w:rsidRDefault="002F6325" w:rsidP="002F6325">
      <w:pPr>
        <w:ind w:right="-1"/>
      </w:pPr>
      <w:r>
        <w:t>This section includes several recommendations for both national and local government. In the absence of consistent national guidance and resources on site allocation and proximity, some recommendations ask local government to “go further” than current national policy requires. Accordingly, we are also asking national government to provide the policy context and support that will make this easier for local government.</w:t>
      </w:r>
    </w:p>
    <w:p w14:paraId="071EFEB1" w14:textId="77777777" w:rsidR="002F6325" w:rsidRDefault="002F6325" w:rsidP="002F6325">
      <w:pPr>
        <w:ind w:right="-1"/>
      </w:pPr>
      <w:r>
        <w:t xml:space="preserve">We have developed a framework of recommendations and actions primarily for local and national governments across the UK. </w:t>
      </w:r>
    </w:p>
    <w:p w14:paraId="4B1D8F10" w14:textId="77777777" w:rsidR="002F6325" w:rsidRDefault="002F6325" w:rsidP="002F6325">
      <w:pPr>
        <w:pStyle w:val="Heading4"/>
      </w:pPr>
      <w:r>
        <w:t>Recommendations for the UK Government</w:t>
      </w:r>
    </w:p>
    <w:p w14:paraId="71D356DD" w14:textId="55D8C131" w:rsidR="00E006B8" w:rsidRDefault="002F6325" w:rsidP="008F2044">
      <w:pPr>
        <w:pStyle w:val="ListParagraph"/>
        <w:numPr>
          <w:ilvl w:val="0"/>
          <w:numId w:val="5"/>
        </w:numPr>
        <w:ind w:left="714" w:hanging="357"/>
        <w:contextualSpacing w:val="0"/>
      </w:pPr>
      <w:r>
        <w:t>There should be a new strategic policy in the National Planning Policy Framework for the delivery of high quality and inclusive walking and wheeling environments including streets and other routes, with a particular focus on walkable proximity to local services and facilities.</w:t>
      </w:r>
    </w:p>
    <w:p w14:paraId="2FE92CD1" w14:textId="77777777" w:rsidR="002F6325" w:rsidRDefault="002F6325" w:rsidP="008F2044">
      <w:pPr>
        <w:pStyle w:val="ListParagraph"/>
        <w:numPr>
          <w:ilvl w:val="0"/>
          <w:numId w:val="5"/>
        </w:numPr>
        <w:ind w:left="714" w:hanging="357"/>
        <w:contextualSpacing w:val="0"/>
      </w:pPr>
      <w:r>
        <w:t>Create a digital tool which supports LPAs to measure proximity to services and more effectively and consistently incorporates proximity as a determining factor in site allocation.</w:t>
      </w:r>
    </w:p>
    <w:p w14:paraId="1F691BDB" w14:textId="77777777" w:rsidR="002F6325" w:rsidRDefault="002F6325" w:rsidP="00E006B8">
      <w:pPr>
        <w:pStyle w:val="Heading4"/>
      </w:pPr>
      <w:r>
        <w:t>Recommendations for local planning authorities (LPAs) in England</w:t>
      </w:r>
    </w:p>
    <w:p w14:paraId="1E5E5071" w14:textId="77777777" w:rsidR="002F6325" w:rsidRDefault="002F6325" w:rsidP="008F2044">
      <w:pPr>
        <w:pStyle w:val="ListParagraph"/>
        <w:numPr>
          <w:ilvl w:val="0"/>
          <w:numId w:val="6"/>
        </w:numPr>
        <w:ind w:hanging="357"/>
        <w:contextualSpacing w:val="0"/>
      </w:pPr>
      <w:r>
        <w:t>LPAs should agree a spatial vision, using mapping to clearly show stakeholders the locations with best accessibility.</w:t>
      </w:r>
    </w:p>
    <w:p w14:paraId="4AB29F02" w14:textId="77777777" w:rsidR="00E006B8" w:rsidRDefault="002F6325" w:rsidP="008F2044">
      <w:pPr>
        <w:pStyle w:val="ListParagraph"/>
        <w:numPr>
          <w:ilvl w:val="0"/>
          <w:numId w:val="7"/>
        </w:numPr>
        <w:ind w:hanging="357"/>
        <w:contextualSpacing w:val="0"/>
      </w:pPr>
      <w:r>
        <w:t>To have developments in the right locations we need more proactive spatial planning</w:t>
      </w:r>
    </w:p>
    <w:p w14:paraId="04725231" w14:textId="0F33A0F5" w:rsidR="002F6325" w:rsidRDefault="002F6325" w:rsidP="008F2044">
      <w:pPr>
        <w:pStyle w:val="ListParagraph"/>
        <w:numPr>
          <w:ilvl w:val="0"/>
          <w:numId w:val="7"/>
        </w:numPr>
        <w:ind w:hanging="357"/>
        <w:contextualSpacing w:val="0"/>
      </w:pPr>
      <w:r>
        <w:t>LPAs should set out a spatial vision that includes accessibility as a core criterion. Accessibility mapping should be used to clearly show the most sustainable locations.</w:t>
      </w:r>
    </w:p>
    <w:p w14:paraId="30C7DE0B" w14:textId="77777777" w:rsidR="002F6325" w:rsidRDefault="002F6325" w:rsidP="008F2044">
      <w:pPr>
        <w:pStyle w:val="ListParagraph"/>
        <w:numPr>
          <w:ilvl w:val="0"/>
          <w:numId w:val="6"/>
        </w:numPr>
        <w:ind w:hanging="357"/>
        <w:contextualSpacing w:val="0"/>
      </w:pPr>
      <w:r>
        <w:t>LPAs should develop Supplementary Planning Documents that set accessibility standards based on 800m walking and wheeling distances to key services, and 400m to bus stops.</w:t>
      </w:r>
    </w:p>
    <w:p w14:paraId="7E9E2755" w14:textId="77777777" w:rsidR="002F6325" w:rsidRDefault="002F6325" w:rsidP="008F2044">
      <w:pPr>
        <w:pStyle w:val="ListParagraph"/>
        <w:numPr>
          <w:ilvl w:val="0"/>
          <w:numId w:val="8"/>
        </w:numPr>
        <w:ind w:hanging="357"/>
        <w:contextualSpacing w:val="0"/>
      </w:pPr>
      <w:r>
        <w:t xml:space="preserve">The social objective of the current NPPF emphasises the need to provide accessible services and to support healthy communities. </w:t>
      </w:r>
    </w:p>
    <w:p w14:paraId="1457D1D5" w14:textId="77777777" w:rsidR="002F6325" w:rsidRDefault="002F6325" w:rsidP="008F2044">
      <w:pPr>
        <w:pStyle w:val="ListParagraph"/>
        <w:numPr>
          <w:ilvl w:val="0"/>
          <w:numId w:val="8"/>
        </w:numPr>
        <w:ind w:hanging="357"/>
        <w:contextualSpacing w:val="0"/>
      </w:pPr>
      <w:r>
        <w:t xml:space="preserve">Local planning policy can define this further, setting out standards for walking and wheeling distances to key services. </w:t>
      </w:r>
    </w:p>
    <w:p w14:paraId="081985DD" w14:textId="77777777" w:rsidR="002F6325" w:rsidRDefault="002F6325" w:rsidP="008F2044">
      <w:pPr>
        <w:pStyle w:val="ListParagraph"/>
        <w:numPr>
          <w:ilvl w:val="0"/>
          <w:numId w:val="6"/>
        </w:numPr>
        <w:ind w:hanging="357"/>
        <w:contextualSpacing w:val="0"/>
      </w:pPr>
      <w:r>
        <w:t>LPAs should develop accessibility background papers to reinforce the importance of walkable distances</w:t>
      </w:r>
    </w:p>
    <w:p w14:paraId="56312C93" w14:textId="77777777" w:rsidR="002F6325" w:rsidRDefault="002F6325" w:rsidP="008F2044">
      <w:pPr>
        <w:pStyle w:val="ListParagraph"/>
        <w:numPr>
          <w:ilvl w:val="0"/>
          <w:numId w:val="9"/>
        </w:numPr>
        <w:ind w:hanging="357"/>
        <w:contextualSpacing w:val="0"/>
      </w:pPr>
      <w:r>
        <w:t>A background paper provides the evidence and precedent for the accessibility standards. This can support planning policy, methodology for site allocation, and Supplementary Planning Documents.</w:t>
      </w:r>
    </w:p>
    <w:p w14:paraId="3787F392" w14:textId="77777777" w:rsidR="002F6325" w:rsidRDefault="002F6325" w:rsidP="008F2044">
      <w:pPr>
        <w:pStyle w:val="ListParagraph"/>
        <w:numPr>
          <w:ilvl w:val="0"/>
          <w:numId w:val="9"/>
        </w:numPr>
        <w:ind w:hanging="357"/>
        <w:contextualSpacing w:val="0"/>
      </w:pPr>
      <w:r>
        <w:t>In the absence of set standards of distances from the UK Government, background papers would set out a robust evidence base for decisions made by LPAs.</w:t>
      </w:r>
    </w:p>
    <w:p w14:paraId="7597FEA7" w14:textId="77777777" w:rsidR="002F6325" w:rsidRDefault="002F6325" w:rsidP="008F2044">
      <w:pPr>
        <w:pStyle w:val="ListParagraph"/>
        <w:numPr>
          <w:ilvl w:val="0"/>
          <w:numId w:val="6"/>
        </w:numPr>
        <w:ind w:hanging="357"/>
        <w:contextualSpacing w:val="0"/>
      </w:pPr>
      <w:r>
        <w:t xml:space="preserve">LPAs should measure proximity to services for sites in the site allocations process, </w:t>
      </w:r>
      <w:proofErr w:type="gramStart"/>
      <w:r>
        <w:t>whether or not</w:t>
      </w:r>
      <w:proofErr w:type="gramEnd"/>
      <w:r>
        <w:t xml:space="preserve"> they are within a settlement boundary</w:t>
      </w:r>
    </w:p>
    <w:p w14:paraId="63114BF8" w14:textId="77777777" w:rsidR="002F6325" w:rsidRDefault="002F6325" w:rsidP="008F2044">
      <w:pPr>
        <w:pStyle w:val="ListParagraph"/>
        <w:numPr>
          <w:ilvl w:val="0"/>
          <w:numId w:val="10"/>
        </w:numPr>
        <w:ind w:hanging="357"/>
        <w:contextualSpacing w:val="0"/>
      </w:pPr>
      <w:r>
        <w:t xml:space="preserve">Settlement boundaries are not necessarily based around walkable distances to services; there may be several miles to get from the boundary to the town centre. </w:t>
      </w:r>
    </w:p>
    <w:p w14:paraId="299C5A50" w14:textId="77777777" w:rsidR="002F6325" w:rsidRDefault="002F6325" w:rsidP="008F2044">
      <w:pPr>
        <w:pStyle w:val="ListParagraph"/>
        <w:numPr>
          <w:ilvl w:val="0"/>
          <w:numId w:val="10"/>
        </w:numPr>
        <w:ind w:hanging="357"/>
        <w:contextualSpacing w:val="0"/>
      </w:pPr>
      <w:r>
        <w:t>Applying walkable distances across all sites can help to reinforce a brownfield-first policy as well as highlighting gaps in provision of facilities.</w:t>
      </w:r>
    </w:p>
    <w:p w14:paraId="6E417425" w14:textId="77777777" w:rsidR="002F6325" w:rsidRDefault="002F6325" w:rsidP="008F2044">
      <w:pPr>
        <w:pStyle w:val="ListParagraph"/>
        <w:numPr>
          <w:ilvl w:val="0"/>
          <w:numId w:val="6"/>
        </w:numPr>
        <w:ind w:hanging="357"/>
        <w:contextualSpacing w:val="0"/>
      </w:pPr>
      <w:r>
        <w:t xml:space="preserve">LPAs should include proximity to services as a criterion within their Sustainability Appraisal to discount unsuitable sites </w:t>
      </w:r>
    </w:p>
    <w:p w14:paraId="60119B69" w14:textId="77777777" w:rsidR="002F6325" w:rsidRDefault="002F6325" w:rsidP="008F2044">
      <w:pPr>
        <w:pStyle w:val="ListParagraph"/>
        <w:numPr>
          <w:ilvl w:val="0"/>
          <w:numId w:val="11"/>
        </w:numPr>
        <w:ind w:hanging="357"/>
        <w:contextualSpacing w:val="0"/>
      </w:pPr>
      <w:r>
        <w:t>Proximity to different key services can be included in the Strategic Housing Land Availability Assessment as part of the suitability assessment.</w:t>
      </w:r>
    </w:p>
    <w:p w14:paraId="1E84019C" w14:textId="77777777" w:rsidR="002F6325" w:rsidRDefault="002F6325" w:rsidP="008F2044">
      <w:pPr>
        <w:pStyle w:val="ListParagraph"/>
        <w:numPr>
          <w:ilvl w:val="0"/>
          <w:numId w:val="11"/>
        </w:numPr>
        <w:ind w:hanging="357"/>
        <w:contextualSpacing w:val="0"/>
      </w:pPr>
      <w:r>
        <w:t>Proximity can also be included as part of several Sustainability Objectives in the appraisal of sites.</w:t>
      </w:r>
    </w:p>
    <w:p w14:paraId="493E77D1" w14:textId="77777777" w:rsidR="002F6325" w:rsidRDefault="002F6325" w:rsidP="008F2044">
      <w:pPr>
        <w:pStyle w:val="ListParagraph"/>
        <w:numPr>
          <w:ilvl w:val="0"/>
          <w:numId w:val="11"/>
        </w:numPr>
        <w:ind w:hanging="357"/>
        <w:contextualSpacing w:val="0"/>
      </w:pPr>
      <w:r>
        <w:t>The scoring used within a Sustainability Appraisal should be considered carefully, starting with 800m as a maximum acceptable distance, and then determining whether a different threshold or a range is more appropriate.</w:t>
      </w:r>
    </w:p>
    <w:p w14:paraId="7C8764F7" w14:textId="77777777" w:rsidR="002F6325" w:rsidRDefault="002F6325" w:rsidP="002F6325">
      <w:pPr>
        <w:pStyle w:val="Heading2"/>
      </w:pPr>
      <w:r>
        <w:t>Introduction</w:t>
      </w:r>
    </w:p>
    <w:p w14:paraId="713941FA" w14:textId="77777777" w:rsidR="002F6325" w:rsidRDefault="002F6325" w:rsidP="002F6325">
      <w:pPr>
        <w:ind w:right="-1"/>
      </w:pPr>
      <w:r>
        <w:t xml:space="preserve">Our current planning system is failing to create happier, healthier neighbourhoods. </w:t>
      </w:r>
    </w:p>
    <w:p w14:paraId="3CA5038A" w14:textId="77777777" w:rsidR="002F6325" w:rsidRDefault="002F6325" w:rsidP="002F6325">
      <w:pPr>
        <w:ind w:right="-1"/>
      </w:pPr>
      <w:r>
        <w:t xml:space="preserve">At a time when we face the global crisis of climate change, coupled with record levels of physical inactivity; it is more important than ever that communities are created where </w:t>
      </w:r>
      <w:proofErr w:type="gramStart"/>
      <w:r>
        <w:t>the vast majority of</w:t>
      </w:r>
      <w:proofErr w:type="gramEnd"/>
      <w:r>
        <w:t xml:space="preserve"> what people need is within a walkable distance. If we do this, then the most obvious and easiest choice for many people will be to walk and cycle </w:t>
      </w:r>
      <w:proofErr w:type="gramStart"/>
      <w:r>
        <w:t>the majority of</w:t>
      </w:r>
      <w:proofErr w:type="gramEnd"/>
      <w:r>
        <w:t xml:space="preserve"> their everyday journeys. This will reduce car dominance and increase physical activity creating connected, healthier communities.</w:t>
      </w:r>
    </w:p>
    <w:p w14:paraId="21859861" w14:textId="77777777" w:rsidR="002F6325" w:rsidRDefault="002F6325" w:rsidP="00E006B8">
      <w:pPr>
        <w:pStyle w:val="Heading3"/>
      </w:pPr>
      <w:r>
        <w:t>Climate change and levelling up</w:t>
      </w:r>
    </w:p>
    <w:p w14:paraId="1D339383" w14:textId="77777777" w:rsidR="002F6325" w:rsidRDefault="002F6325" w:rsidP="002F6325">
      <w:pPr>
        <w:ind w:right="-1"/>
      </w:pPr>
      <w:r>
        <w:t>The UK Government’s commitment to tackling climate emergency and levelling up is reflected in governmental rhetoric and ambition but not yet in joined-up policy and practical action, including within planning policy.</w:t>
      </w:r>
    </w:p>
    <w:p w14:paraId="5EAECCFF" w14:textId="59B8FA35" w:rsidR="002F6325" w:rsidRDefault="002F6325" w:rsidP="002F6325">
      <w:pPr>
        <w:ind w:right="-1"/>
      </w:pPr>
      <w:r>
        <w:t>To meet our legal targets on climate change and to reduce inequity as we do so, we need not just to electrify motor vehicles, but also to rapidly reduce car use</w:t>
      </w:r>
      <w:r w:rsidR="00D4144D">
        <w:rPr>
          <w:rStyle w:val="EndnoteReference"/>
        </w:rPr>
        <w:endnoteReference w:id="1"/>
      </w:r>
      <w:r>
        <w:t>.</w:t>
      </w:r>
    </w:p>
    <w:p w14:paraId="72FB4C9E" w14:textId="77777777" w:rsidR="002F6325" w:rsidRDefault="002F6325" w:rsidP="00E006B8">
      <w:pPr>
        <w:pStyle w:val="Heading3"/>
      </w:pPr>
      <w:r>
        <w:t>Housing and car dependency</w:t>
      </w:r>
    </w:p>
    <w:p w14:paraId="2DB73E83" w14:textId="39123FEE" w:rsidR="002F6325" w:rsidRDefault="002F6325" w:rsidP="002F6325">
      <w:pPr>
        <w:ind w:right="-1"/>
      </w:pPr>
      <w:r>
        <w:t>The way we get around has a key role to play in addressing climate change, as currently 27% of the UK’s emissions come from domestic transport</w:t>
      </w:r>
      <w:r w:rsidR="00D4144D">
        <w:rPr>
          <w:rStyle w:val="EndnoteReference"/>
        </w:rPr>
        <w:endnoteReference w:id="2"/>
      </w:r>
      <w:r>
        <w:t>. Reducing the need to use a private car to reach everyday services, education and employment is also key to reducing the risk of people experiencing transport poverty</w:t>
      </w:r>
      <w:r w:rsidR="00ED4BD4">
        <w:rPr>
          <w:rStyle w:val="EndnoteReference"/>
        </w:rPr>
        <w:endnoteReference w:id="3"/>
      </w:r>
      <w:r>
        <w:t xml:space="preserve">. </w:t>
      </w:r>
    </w:p>
    <w:p w14:paraId="69E5FDD4" w14:textId="77777777" w:rsidR="002F6325" w:rsidRDefault="002F6325" w:rsidP="002F6325">
      <w:pPr>
        <w:ind w:right="-1"/>
      </w:pPr>
      <w:r>
        <w:t xml:space="preserve">However, reducing car use will be made much harder if we continue to build housing developments which lock people into car dependency for years to come. Far too many new housing developments are built too far away from existing urban centres and are designed at low densities, meaning that there are too few people to support services, such as schools, </w:t>
      </w:r>
      <w:proofErr w:type="gramStart"/>
      <w:r>
        <w:t>shops</w:t>
      </w:r>
      <w:proofErr w:type="gramEnd"/>
      <w:r>
        <w:t xml:space="preserve"> and a GP’s surgery, within them (see Figure 1 for a detailed list of services). Some new developments lack the most basic provision such as pavements, with public transport services that are infrequent or patchy, and lack of infrastructure to support cycling. </w:t>
      </w:r>
    </w:p>
    <w:p w14:paraId="3747B0D7" w14:textId="25E6A755" w:rsidR="002F6325" w:rsidRDefault="002F6325" w:rsidP="002F6325">
      <w:pPr>
        <w:ind w:right="-1"/>
      </w:pPr>
      <w:r>
        <w:t>Accordingly, people who do not have access to a car are forced to walk or wheel</w:t>
      </w:r>
      <w:r w:rsidR="00ED4BD4">
        <w:rPr>
          <w:rStyle w:val="EndnoteReference"/>
        </w:rPr>
        <w:endnoteReference w:id="4"/>
      </w:r>
      <w:r>
        <w:t xml:space="preserve"> long distances or rely on public transport, which can be infrequent and expensive, to meet their everyday needs. The lack of alternative transport options can also push people into running a car that represents a considerable portion of their income.</w:t>
      </w:r>
    </w:p>
    <w:p w14:paraId="5458077D" w14:textId="77777777" w:rsidR="002F6325" w:rsidRDefault="002F6325" w:rsidP="00E006B8">
      <w:pPr>
        <w:pStyle w:val="Heading3"/>
      </w:pPr>
      <w:r>
        <w:t>Issues with current planning guidance</w:t>
      </w:r>
    </w:p>
    <w:p w14:paraId="50242904" w14:textId="77777777" w:rsidR="002F6325" w:rsidRDefault="002F6325" w:rsidP="002F6325">
      <w:pPr>
        <w:ind w:right="-1"/>
      </w:pPr>
      <w:r>
        <w:t xml:space="preserve">While current planning guidance offers encouraging words on embedding sustainable transport within new developments, this is not typically reflected in their design or delivery. </w:t>
      </w:r>
    </w:p>
    <w:p w14:paraId="164659CB" w14:textId="4095D38C" w:rsidR="002F6325" w:rsidRDefault="002F6325" w:rsidP="002F6325">
      <w:pPr>
        <w:ind w:right="-1"/>
      </w:pPr>
      <w:r>
        <w:t>For example, the National Planning Policy Framework (NPPF)</w:t>
      </w:r>
      <w:r w:rsidR="00ED4BD4">
        <w:rPr>
          <w:rStyle w:val="EndnoteReference"/>
        </w:rPr>
        <w:endnoteReference w:id="5"/>
      </w:r>
      <w:r>
        <w:t xml:space="preserve"> has a social objective to support strong, </w:t>
      </w:r>
      <w:proofErr w:type="gramStart"/>
      <w:r>
        <w:t>vibrant</w:t>
      </w:r>
      <w:proofErr w:type="gramEnd"/>
      <w:r>
        <w:t xml:space="preserve"> and healthy communities and advocates for creating developments that are sustainable and offer a genuine choice of transport modes.</w:t>
      </w:r>
    </w:p>
    <w:p w14:paraId="23EF8455" w14:textId="77777777" w:rsidR="002F6325" w:rsidRDefault="002F6325" w:rsidP="002F6325">
      <w:pPr>
        <w:ind w:right="-1"/>
      </w:pPr>
      <w:r>
        <w:t>However, no planning guidance or standards currently exist to set out how this should be achieved in practice, and so developments which deliver car dependency continue to be approved and built.</w:t>
      </w:r>
    </w:p>
    <w:p w14:paraId="36B48493" w14:textId="77777777" w:rsidR="002F6325" w:rsidRDefault="002F6325" w:rsidP="002F6325">
      <w:pPr>
        <w:ind w:right="-1"/>
      </w:pPr>
      <w:r>
        <w:t xml:space="preserve">With government language focusing increasingly on decarbonisation and reducing the need to travel, ensuring services are within a walkable or wheelable distance from new homes should be increasingly important in spatial planning, and planners should be provided with guidance and tools which will help them to achieve this. </w:t>
      </w:r>
    </w:p>
    <w:p w14:paraId="464ED11F" w14:textId="77777777" w:rsidR="002F6325" w:rsidRDefault="002F6325" w:rsidP="00E006B8">
      <w:pPr>
        <w:pStyle w:val="Heading3"/>
      </w:pPr>
      <w:r>
        <w:t>The case for walking</w:t>
      </w:r>
    </w:p>
    <w:p w14:paraId="58B9644F" w14:textId="77777777" w:rsidR="002F6325" w:rsidRDefault="002F6325" w:rsidP="00E006B8">
      <w:pPr>
        <w:pStyle w:val="Heading4"/>
      </w:pPr>
      <w:r>
        <w:t>When journeys are short enough, most people walk</w:t>
      </w:r>
    </w:p>
    <w:p w14:paraId="5B4A0091" w14:textId="19A798E2" w:rsidR="002F6325" w:rsidRDefault="002F6325" w:rsidP="008F2044">
      <w:pPr>
        <w:pStyle w:val="ListParagraph"/>
        <w:numPr>
          <w:ilvl w:val="0"/>
          <w:numId w:val="12"/>
        </w:numPr>
        <w:ind w:left="714" w:hanging="357"/>
        <w:contextualSpacing w:val="0"/>
      </w:pPr>
      <w:r>
        <w:t>Analysis of the National Travel Survey data</w:t>
      </w:r>
      <w:r w:rsidR="00ED4BD4">
        <w:rPr>
          <w:rStyle w:val="EndnoteReference"/>
        </w:rPr>
        <w:endnoteReference w:id="6"/>
      </w:r>
      <w:r>
        <w:t xml:space="preserve"> in 2015 showed 50% of single-stage walking trips were under 800m.</w:t>
      </w:r>
    </w:p>
    <w:p w14:paraId="41049AA9" w14:textId="4D536711" w:rsidR="002F6325" w:rsidRDefault="002F6325" w:rsidP="008F2044">
      <w:pPr>
        <w:pStyle w:val="ListParagraph"/>
        <w:numPr>
          <w:ilvl w:val="0"/>
          <w:numId w:val="12"/>
        </w:numPr>
        <w:ind w:left="714" w:hanging="357"/>
        <w:contextualSpacing w:val="0"/>
      </w:pPr>
      <w:r>
        <w:t>In 2012, analysis of trip data in four English city regions found that 69% of trips made by walking were less than 800m and of these, 89% of trips under 400m and 70% of trips 400-800m were walked</w:t>
      </w:r>
      <w:r w:rsidR="00ED4BD4">
        <w:rPr>
          <w:rStyle w:val="EndnoteReference"/>
        </w:rPr>
        <w:endnoteReference w:id="7"/>
      </w:r>
      <w:r>
        <w:t>.</w:t>
      </w:r>
    </w:p>
    <w:p w14:paraId="68AE1305" w14:textId="34A94017" w:rsidR="002F6325" w:rsidRDefault="002F6325" w:rsidP="008F2044">
      <w:pPr>
        <w:pStyle w:val="ListParagraph"/>
        <w:numPr>
          <w:ilvl w:val="0"/>
          <w:numId w:val="12"/>
        </w:numPr>
        <w:ind w:left="714" w:hanging="357"/>
        <w:contextualSpacing w:val="0"/>
      </w:pPr>
      <w:r>
        <w:t xml:space="preserve">800m, or approximately half a mile, is generally considered a standard walkable distance from services as it typically takes approximately 10 minutes to walk, and a </w:t>
      </w:r>
      <w:proofErr w:type="gramStart"/>
      <w:r>
        <w:t>20 minute</w:t>
      </w:r>
      <w:proofErr w:type="gramEnd"/>
      <w:r>
        <w:t xml:space="preserve"> walking trip (i.e. 1600m total) has been found as the longest distance a majority of people are willing to walk to meet their daily needs</w:t>
      </w:r>
      <w:r w:rsidR="00ED4BD4">
        <w:rPr>
          <w:rStyle w:val="EndnoteReference"/>
        </w:rPr>
        <w:endnoteReference w:id="8"/>
      </w:r>
      <w:r>
        <w:t xml:space="preserve">. </w:t>
      </w:r>
    </w:p>
    <w:p w14:paraId="791C878C" w14:textId="77777777" w:rsidR="002F6325" w:rsidRDefault="002F6325" w:rsidP="008F2044">
      <w:pPr>
        <w:pStyle w:val="ListParagraph"/>
        <w:numPr>
          <w:ilvl w:val="0"/>
          <w:numId w:val="12"/>
        </w:numPr>
        <w:ind w:left="714" w:hanging="357"/>
        <w:contextualSpacing w:val="0"/>
      </w:pPr>
      <w:r>
        <w:t xml:space="preserve">Depending on local health, topography and population demographics, such as an older population, the 800m standard may need to be reduced to adhere to the </w:t>
      </w:r>
      <w:proofErr w:type="gramStart"/>
      <w:r>
        <w:t>20 minute</w:t>
      </w:r>
      <w:proofErr w:type="gramEnd"/>
      <w:r>
        <w:t xml:space="preserve"> return trip standard, with amenities such as seating or spaces to rest also provided. </w:t>
      </w:r>
    </w:p>
    <w:p w14:paraId="5688F2CE" w14:textId="77777777" w:rsidR="002F6325" w:rsidRDefault="002F6325" w:rsidP="008F2044">
      <w:pPr>
        <w:pStyle w:val="Heading4"/>
      </w:pPr>
      <w:r>
        <w:t>Need for walkability</w:t>
      </w:r>
    </w:p>
    <w:p w14:paraId="5ED7A6DF" w14:textId="2BFB6414" w:rsidR="002F6325" w:rsidRDefault="002F6325" w:rsidP="008F2044">
      <w:pPr>
        <w:pStyle w:val="ListParagraph"/>
        <w:numPr>
          <w:ilvl w:val="0"/>
          <w:numId w:val="13"/>
        </w:numPr>
        <w:ind w:right="-1"/>
      </w:pPr>
      <w:r>
        <w:t>Making it easier for everyone to walk to the every-day places they need to and making sure that people don’t have to rely on a car for making short trips can help to boost access to work and local services, reduce congestion</w:t>
      </w:r>
      <w:r w:rsidR="00ED4BD4">
        <w:rPr>
          <w:rStyle w:val="EndnoteReference"/>
        </w:rPr>
        <w:endnoteReference w:id="9"/>
      </w:r>
      <w:r>
        <w:t>, cut air pollution</w:t>
      </w:r>
      <w:r w:rsidR="00ED4BD4">
        <w:rPr>
          <w:rStyle w:val="EndnoteReference"/>
        </w:rPr>
        <w:endnoteReference w:id="10"/>
      </w:r>
      <w:r>
        <w:t>, prevent ill health and reduce costs to the NHS</w:t>
      </w:r>
      <w:r w:rsidR="00ED4BD4">
        <w:rPr>
          <w:rStyle w:val="EndnoteReference"/>
        </w:rPr>
        <w:endnoteReference w:id="11"/>
      </w:r>
      <w:r>
        <w:t>, and help to sustain or revitalise local high streets and economies</w:t>
      </w:r>
      <w:r w:rsidR="00ED4BD4">
        <w:rPr>
          <w:rStyle w:val="EndnoteReference"/>
        </w:rPr>
        <w:endnoteReference w:id="12"/>
      </w:r>
      <w:r>
        <w:t xml:space="preserve">. </w:t>
      </w:r>
    </w:p>
    <w:p w14:paraId="12299148" w14:textId="41530151" w:rsidR="002F6325" w:rsidRDefault="002F6325" w:rsidP="008F2044">
      <w:pPr>
        <w:pStyle w:val="ListParagraph"/>
        <w:numPr>
          <w:ilvl w:val="0"/>
          <w:numId w:val="13"/>
        </w:numPr>
        <w:ind w:right="-1"/>
      </w:pPr>
      <w:r>
        <w:t>Conversely, failing to provide for walkable services, or providing public transport links to those services, locks people into car dependency, with a report by Transport for New Homes outlining that “many new greenfield housing estates are adding to traffic jams, carbon emissions and are trapping communities into car-dependence”</w:t>
      </w:r>
      <w:r w:rsidR="00ED4BD4">
        <w:rPr>
          <w:rStyle w:val="EndnoteReference"/>
        </w:rPr>
        <w:endnoteReference w:id="13"/>
      </w:r>
      <w:r>
        <w:t>.</w:t>
      </w:r>
    </w:p>
    <w:p w14:paraId="5FB72995" w14:textId="77777777" w:rsidR="002F6325" w:rsidRDefault="002F6325" w:rsidP="008F2044">
      <w:pPr>
        <w:pStyle w:val="Heading4"/>
      </w:pPr>
      <w:r>
        <w:t>However, many new developments are not within walkable distances of services</w:t>
      </w:r>
    </w:p>
    <w:p w14:paraId="10C31C56" w14:textId="7904398F" w:rsidR="002F6325" w:rsidRDefault="002F6325" w:rsidP="008F2044">
      <w:pPr>
        <w:pStyle w:val="ListParagraph"/>
        <w:numPr>
          <w:ilvl w:val="0"/>
          <w:numId w:val="14"/>
        </w:numPr>
        <w:ind w:left="714" w:hanging="357"/>
        <w:contextualSpacing w:val="0"/>
      </w:pPr>
      <w:r>
        <w:t>Recent studies by the RTPI</w:t>
      </w:r>
      <w:r w:rsidR="00ED4BD4">
        <w:rPr>
          <w:rStyle w:val="EndnoteReference"/>
        </w:rPr>
        <w:endnoteReference w:id="14"/>
      </w:r>
      <w:r>
        <w:t>, Place Alliance</w:t>
      </w:r>
      <w:r w:rsidR="00ED4BD4">
        <w:rPr>
          <w:rStyle w:val="EndnoteReference"/>
        </w:rPr>
        <w:endnoteReference w:id="15"/>
      </w:r>
      <w:r>
        <w:t>, Transport for New Homes</w:t>
      </w:r>
      <w:r w:rsidR="003B3E1B">
        <w:rPr>
          <w:rStyle w:val="EndnoteReference"/>
        </w:rPr>
        <w:endnoteReference w:id="16"/>
      </w:r>
      <w:r>
        <w:t xml:space="preserve"> and others</w:t>
      </w:r>
      <w:r w:rsidR="003B3E1B">
        <w:rPr>
          <w:rStyle w:val="EndnoteReference"/>
        </w:rPr>
        <w:endnoteReference w:id="17"/>
      </w:r>
      <w:r>
        <w:t xml:space="preserve"> have demonstrated that many new housing developments are being built in locations that are too far away for residents to walk or wheel to key services.</w:t>
      </w:r>
    </w:p>
    <w:p w14:paraId="2822D59A" w14:textId="247565C7" w:rsidR="002F6325" w:rsidRDefault="002F6325" w:rsidP="008F2044">
      <w:pPr>
        <w:pStyle w:val="ListParagraph"/>
        <w:numPr>
          <w:ilvl w:val="0"/>
          <w:numId w:val="14"/>
        </w:numPr>
        <w:ind w:left="714" w:hanging="357"/>
        <w:contextualSpacing w:val="0"/>
      </w:pPr>
      <w:r>
        <w:t>This is highlighted by the fact that in England in 2018, almost 20% of journeys under one mile were made by car</w:t>
      </w:r>
      <w:r w:rsidR="003B3E1B">
        <w:rPr>
          <w:rStyle w:val="EndnoteReference"/>
        </w:rPr>
        <w:endnoteReference w:id="18"/>
      </w:r>
      <w:r>
        <w:t>. These could be walked in 15 minutes.</w:t>
      </w:r>
    </w:p>
    <w:p w14:paraId="5B693DED" w14:textId="77777777" w:rsidR="002F6325" w:rsidRDefault="002F6325" w:rsidP="008F2044">
      <w:pPr>
        <w:pStyle w:val="Heading4"/>
      </w:pPr>
      <w:r>
        <w:t xml:space="preserve">Planning guidance on walking does exist but is inconsistent </w:t>
      </w:r>
    </w:p>
    <w:p w14:paraId="6F7983CA" w14:textId="77777777" w:rsidR="002F6325" w:rsidRDefault="002F6325" w:rsidP="008F2044">
      <w:pPr>
        <w:pStyle w:val="ListParagraph"/>
        <w:numPr>
          <w:ilvl w:val="0"/>
          <w:numId w:val="15"/>
        </w:numPr>
        <w:ind w:left="714" w:hanging="357"/>
        <w:contextualSpacing w:val="0"/>
      </w:pPr>
      <w:r>
        <w:t xml:space="preserve">Guidance does exist to encourage planners to ensure developments are within a walkable distance of 800m from most services. </w:t>
      </w:r>
    </w:p>
    <w:p w14:paraId="23C1BC4B" w14:textId="6644FEF2" w:rsidR="002F6325" w:rsidRDefault="002F6325" w:rsidP="008F2044">
      <w:pPr>
        <w:pStyle w:val="ListParagraph"/>
        <w:numPr>
          <w:ilvl w:val="0"/>
          <w:numId w:val="15"/>
        </w:numPr>
        <w:ind w:left="714" w:hanging="357"/>
        <w:contextualSpacing w:val="0"/>
      </w:pPr>
      <w:r>
        <w:t>This includes the Department for Transport’s Manual for Streets</w:t>
      </w:r>
      <w:r w:rsidR="003B3E1B">
        <w:rPr>
          <w:rStyle w:val="EndnoteReference"/>
        </w:rPr>
        <w:endnoteReference w:id="19"/>
      </w:r>
      <w:r>
        <w:t>, alongside guidance from Sport England</w:t>
      </w:r>
      <w:r w:rsidR="003B3E1B">
        <w:rPr>
          <w:rStyle w:val="EndnoteReference"/>
        </w:rPr>
        <w:endnoteReference w:id="20"/>
      </w:r>
      <w:r>
        <w:t>, the Chartered Institute of Highways and Transportation (CIHT)</w:t>
      </w:r>
      <w:r w:rsidR="003B3E1B">
        <w:rPr>
          <w:rStyle w:val="EndnoteReference"/>
        </w:rPr>
        <w:endnoteReference w:id="21"/>
      </w:r>
      <w:r>
        <w:t xml:space="preserve"> and the Local Government Association</w:t>
      </w:r>
      <w:r w:rsidR="003B3E1B">
        <w:rPr>
          <w:rStyle w:val="EndnoteReference"/>
        </w:rPr>
        <w:endnoteReference w:id="22"/>
      </w:r>
      <w:r>
        <w:t xml:space="preserve">. </w:t>
      </w:r>
    </w:p>
    <w:p w14:paraId="5A614FE7" w14:textId="2C587BCA" w:rsidR="002F6325" w:rsidRDefault="002F6325" w:rsidP="008F2044">
      <w:pPr>
        <w:pStyle w:val="ListParagraph"/>
        <w:numPr>
          <w:ilvl w:val="0"/>
          <w:numId w:val="15"/>
        </w:numPr>
        <w:ind w:left="714" w:hanging="357"/>
        <w:contextualSpacing w:val="0"/>
      </w:pPr>
      <w:r>
        <w:t>Some guidance even recommends that some facilities should be closer. For example, CIHT recommends a 400m distance to bus stops in residential areas.</w:t>
      </w:r>
      <w:r w:rsidR="003B3E1B">
        <w:rPr>
          <w:rStyle w:val="EndnoteReference"/>
        </w:rPr>
        <w:endnoteReference w:id="23"/>
      </w:r>
    </w:p>
    <w:p w14:paraId="624335C5" w14:textId="77777777" w:rsidR="002F6325" w:rsidRDefault="002F6325" w:rsidP="008F2044">
      <w:pPr>
        <w:pStyle w:val="ListParagraph"/>
        <w:numPr>
          <w:ilvl w:val="0"/>
          <w:numId w:val="15"/>
        </w:numPr>
        <w:ind w:left="714" w:hanging="357"/>
        <w:contextualSpacing w:val="0"/>
      </w:pPr>
      <w:r>
        <w:t>However, this approach is not a requirement, and so there is inconsistency in whether / how walkability to services is considered during the site allocation process.</w:t>
      </w:r>
    </w:p>
    <w:p w14:paraId="4772B323" w14:textId="77777777" w:rsidR="002F6325" w:rsidRDefault="002F6325" w:rsidP="008F2044">
      <w:pPr>
        <w:pStyle w:val="Heading4"/>
      </w:pPr>
      <w:r>
        <w:t>Government planning policy doesn’t support its own design guidance in clearly setting out what ‘accessible services’ means or how they should be implemented:</w:t>
      </w:r>
    </w:p>
    <w:p w14:paraId="164F2720" w14:textId="22DD5AE6" w:rsidR="002F6325" w:rsidRDefault="002F6325" w:rsidP="008F2044">
      <w:pPr>
        <w:pStyle w:val="ListParagraph"/>
        <w:numPr>
          <w:ilvl w:val="0"/>
          <w:numId w:val="16"/>
        </w:numPr>
        <w:ind w:left="714" w:hanging="357"/>
        <w:contextualSpacing w:val="0"/>
      </w:pPr>
      <w:r>
        <w:t>The Government’s National Design Guide</w:t>
      </w:r>
      <w:r w:rsidR="003B3E1B">
        <w:rPr>
          <w:rStyle w:val="EndnoteReference"/>
        </w:rPr>
        <w:endnoteReference w:id="24"/>
      </w:r>
      <w:r>
        <w:t xml:space="preserve"> defines “walkable” well-designed places as having local facilities within 800m. It also discusses the role of the built environment, including density and junction design, in encouraging walking. The National Design Guide also states that people should be able to get to facilities and local services without needing a car.</w:t>
      </w:r>
    </w:p>
    <w:p w14:paraId="16F9F053" w14:textId="69D51B9A" w:rsidR="002F6325" w:rsidRDefault="002F6325" w:rsidP="008F2044">
      <w:pPr>
        <w:pStyle w:val="ListParagraph"/>
        <w:numPr>
          <w:ilvl w:val="0"/>
          <w:numId w:val="16"/>
        </w:numPr>
        <w:ind w:left="714" w:hanging="357"/>
        <w:contextualSpacing w:val="0"/>
      </w:pPr>
      <w:r>
        <w:t xml:space="preserve">Despite the National Planning Policy Framework calling for places that are not well-designed to be refused, there is no </w:t>
      </w:r>
      <w:proofErr w:type="gramStart"/>
      <w:r>
        <w:t>matching  guidance</w:t>
      </w:r>
      <w:proofErr w:type="gramEnd"/>
      <w:r>
        <w:t xml:space="preserve"> for planners in England in the NPPF or PPG that defines a walkable distance, or how a walkable distance should be implemented, when assessing site locations or planning applications. </w:t>
      </w:r>
    </w:p>
    <w:p w14:paraId="0D856E02" w14:textId="77777777" w:rsidR="002F6325" w:rsidRDefault="002F6325" w:rsidP="008F2044">
      <w:pPr>
        <w:pStyle w:val="Heading2"/>
      </w:pPr>
      <w:r>
        <w:t>Research aims and approach</w:t>
      </w:r>
    </w:p>
    <w:p w14:paraId="52D9EBA3" w14:textId="77777777" w:rsidR="002F6325" w:rsidRDefault="002F6325" w:rsidP="008F2044">
      <w:pPr>
        <w:pStyle w:val="Heading3"/>
      </w:pPr>
      <w:r>
        <w:t>Aims</w:t>
      </w:r>
    </w:p>
    <w:p w14:paraId="0D31ACCD" w14:textId="77777777" w:rsidR="002F6325" w:rsidRDefault="002F6325" w:rsidP="002F6325">
      <w:pPr>
        <w:ind w:right="-1"/>
      </w:pPr>
      <w:r>
        <w:t xml:space="preserve">Given the challenges, opportunities and shortcomings set out in the introduction, research was undertaken to better understand if and how proximity to services (defined as being walkable for most people, </w:t>
      </w:r>
      <w:proofErr w:type="gramStart"/>
      <w:r>
        <w:t>i.e.</w:t>
      </w:r>
      <w:proofErr w:type="gramEnd"/>
      <w:r>
        <w:t xml:space="preserve"> within 800m) determine housing site allocation in England, and how consistently, or otherwise, decisions on proximity as a determining factor are made. </w:t>
      </w:r>
    </w:p>
    <w:p w14:paraId="45BEED1E" w14:textId="77777777" w:rsidR="002F6325" w:rsidRDefault="002F6325" w:rsidP="008F2044">
      <w:pPr>
        <w:pStyle w:val="Heading4"/>
      </w:pPr>
      <w:r>
        <w:t>This study aimed to answer the following questions:</w:t>
      </w:r>
    </w:p>
    <w:p w14:paraId="489B7E07" w14:textId="77777777" w:rsidR="002F6325" w:rsidRDefault="002F6325" w:rsidP="008F2044">
      <w:pPr>
        <w:pStyle w:val="ListParagraph"/>
        <w:numPr>
          <w:ilvl w:val="0"/>
          <w:numId w:val="17"/>
        </w:numPr>
        <w:ind w:left="714" w:hanging="357"/>
        <w:contextualSpacing w:val="0"/>
      </w:pPr>
      <w:r>
        <w:t>Is a consistent approach used in assessing walkable proximity in site allocation across England?</w:t>
      </w:r>
    </w:p>
    <w:p w14:paraId="103E9C20" w14:textId="77777777" w:rsidR="002F6325" w:rsidRDefault="002F6325" w:rsidP="008F2044">
      <w:pPr>
        <w:pStyle w:val="ListParagraph"/>
        <w:numPr>
          <w:ilvl w:val="0"/>
          <w:numId w:val="17"/>
        </w:numPr>
        <w:ind w:left="714" w:hanging="357"/>
        <w:contextualSpacing w:val="0"/>
      </w:pPr>
      <w:r>
        <w:t>Is the existing Governmental planning guidance - and guidance from other bodies - enough to support local planning authorities to consider walkable distances in their site allocations?</w:t>
      </w:r>
    </w:p>
    <w:p w14:paraId="4CF83956" w14:textId="77777777" w:rsidR="002F6325" w:rsidRDefault="002F6325" w:rsidP="008F2044">
      <w:pPr>
        <w:pStyle w:val="Heading3"/>
      </w:pPr>
      <w:r>
        <w:t>Methodology</w:t>
      </w:r>
    </w:p>
    <w:p w14:paraId="69BC7D8B" w14:textId="77777777" w:rsidR="002F6325" w:rsidRDefault="002F6325" w:rsidP="008F2044">
      <w:pPr>
        <w:pStyle w:val="Heading4"/>
      </w:pPr>
      <w:r>
        <w:t>A survey was undertaken with officers from Local Planning Authorities (LPAs) in England:</w:t>
      </w:r>
    </w:p>
    <w:p w14:paraId="7F292D83" w14:textId="77777777" w:rsidR="002F6325" w:rsidRDefault="002F6325" w:rsidP="008F2044">
      <w:pPr>
        <w:pStyle w:val="ListParagraph"/>
        <w:numPr>
          <w:ilvl w:val="0"/>
          <w:numId w:val="18"/>
        </w:numPr>
        <w:ind w:left="714" w:hanging="357"/>
        <w:contextualSpacing w:val="0"/>
      </w:pPr>
      <w:r>
        <w:t xml:space="preserve">The survey was sent out to LPA planning teams across England in December 2019 and January 2020. </w:t>
      </w:r>
    </w:p>
    <w:p w14:paraId="69C3E9A2" w14:textId="77777777" w:rsidR="002F6325" w:rsidRDefault="002F6325" w:rsidP="008F2044">
      <w:pPr>
        <w:pStyle w:val="ListParagraph"/>
        <w:numPr>
          <w:ilvl w:val="0"/>
          <w:numId w:val="18"/>
        </w:numPr>
        <w:ind w:left="714" w:hanging="357"/>
        <w:contextualSpacing w:val="0"/>
      </w:pPr>
      <w:r>
        <w:t xml:space="preserve">Planning officers from 100 Local Planning Authorities responded to the survey. </w:t>
      </w:r>
    </w:p>
    <w:p w14:paraId="1BE6CD30" w14:textId="77777777" w:rsidR="002F6325" w:rsidRDefault="002F6325" w:rsidP="008F2044">
      <w:pPr>
        <w:pStyle w:val="Heading4"/>
      </w:pPr>
      <w:r>
        <w:t>In-depth interviews were carried out with officers, alongside a review of planning documents in seven case study LPAs:</w:t>
      </w:r>
    </w:p>
    <w:p w14:paraId="005A5C0B" w14:textId="77777777" w:rsidR="002F6325" w:rsidRDefault="002F6325" w:rsidP="008F2044">
      <w:pPr>
        <w:pStyle w:val="ListParagraph"/>
        <w:numPr>
          <w:ilvl w:val="0"/>
          <w:numId w:val="19"/>
        </w:numPr>
        <w:ind w:left="714" w:hanging="357"/>
        <w:contextualSpacing w:val="0"/>
      </w:pPr>
      <w:r>
        <w:t xml:space="preserve">Remote interviews with planning officers and a review of the policy documents from seven LPAs helped to provide a deeper understanding of the process, the barriers, and perceptions of accessibility. </w:t>
      </w:r>
    </w:p>
    <w:p w14:paraId="2589CEEA" w14:textId="77777777" w:rsidR="002F6325" w:rsidRDefault="002F6325" w:rsidP="008F2044">
      <w:pPr>
        <w:pStyle w:val="ListParagraph"/>
        <w:numPr>
          <w:ilvl w:val="0"/>
          <w:numId w:val="19"/>
        </w:numPr>
        <w:ind w:left="714" w:hanging="357"/>
        <w:contextualSpacing w:val="0"/>
      </w:pPr>
      <w:r>
        <w:t>The interviews were with planning policy officers from five predominately rural and two predominately suburban LPAs.</w:t>
      </w:r>
    </w:p>
    <w:p w14:paraId="32D3B456" w14:textId="77777777" w:rsidR="002F6325" w:rsidRDefault="002F6325" w:rsidP="008F2044">
      <w:pPr>
        <w:pStyle w:val="Heading4"/>
      </w:pPr>
      <w:r>
        <w:t>Representation</w:t>
      </w:r>
    </w:p>
    <w:p w14:paraId="7EBA1A7C" w14:textId="77777777" w:rsidR="002F6325" w:rsidRDefault="002F6325" w:rsidP="008F2044">
      <w:pPr>
        <w:pStyle w:val="ListParagraph"/>
        <w:numPr>
          <w:ilvl w:val="0"/>
          <w:numId w:val="20"/>
        </w:numPr>
        <w:ind w:right="-1"/>
      </w:pPr>
      <w:r>
        <w:t>Planning officers from all of England’s regions were represented, except for London</w:t>
      </w:r>
    </w:p>
    <w:p w14:paraId="4496FFAE" w14:textId="77777777" w:rsidR="002F6325" w:rsidRDefault="002F6325" w:rsidP="008F2044">
      <w:pPr>
        <w:pStyle w:val="ListParagraph"/>
        <w:numPr>
          <w:ilvl w:val="0"/>
          <w:numId w:val="20"/>
        </w:numPr>
        <w:ind w:right="-1"/>
      </w:pPr>
      <w:r>
        <w:t>Overall, 16% of responses were from LPAs that described themselves as ‘urban’, 34% from ‘predominately urban/suburban’ LPAs and 50% of responses were from ‘predominately rural’ LPAs.</w:t>
      </w:r>
    </w:p>
    <w:p w14:paraId="6FDBA122" w14:textId="77777777" w:rsidR="002F6325" w:rsidRDefault="002F6325" w:rsidP="008F2044">
      <w:pPr>
        <w:pStyle w:val="Heading2"/>
      </w:pPr>
      <w:r>
        <w:t>Research findings</w:t>
      </w:r>
    </w:p>
    <w:p w14:paraId="57C176E8" w14:textId="77777777" w:rsidR="002F6325" w:rsidRDefault="002F6325" w:rsidP="008F2044">
      <w:pPr>
        <w:pStyle w:val="Heading3"/>
      </w:pPr>
      <w:r>
        <w:t>Headline findings</w:t>
      </w:r>
    </w:p>
    <w:p w14:paraId="33FB8F4E" w14:textId="77777777" w:rsidR="002F6325" w:rsidRDefault="002F6325" w:rsidP="008F2044">
      <w:pPr>
        <w:pStyle w:val="Heading4"/>
      </w:pPr>
      <w:r>
        <w:t>The headline findings from the research were that:</w:t>
      </w:r>
    </w:p>
    <w:p w14:paraId="54B561D3" w14:textId="77777777" w:rsidR="002F6325" w:rsidRDefault="002F6325" w:rsidP="008F2044">
      <w:pPr>
        <w:pStyle w:val="ListParagraph"/>
        <w:numPr>
          <w:ilvl w:val="0"/>
          <w:numId w:val="21"/>
        </w:numPr>
        <w:ind w:left="714" w:hanging="357"/>
        <w:contextualSpacing w:val="0"/>
      </w:pPr>
      <w:r>
        <w:t>The accessibility of local services is typically considered in Local Planning Authority site allocation processes</w:t>
      </w:r>
    </w:p>
    <w:p w14:paraId="4D76C839" w14:textId="77777777" w:rsidR="002F6325" w:rsidRDefault="002F6325" w:rsidP="008F2044">
      <w:pPr>
        <w:pStyle w:val="ListParagraph"/>
        <w:numPr>
          <w:ilvl w:val="0"/>
          <w:numId w:val="21"/>
        </w:numPr>
        <w:ind w:left="714" w:hanging="357"/>
        <w:contextualSpacing w:val="0"/>
      </w:pPr>
      <w:r>
        <w:t xml:space="preserve">However, approaches to measure service accessibility by walking are inconsistent </w:t>
      </w:r>
    </w:p>
    <w:p w14:paraId="60EC141D" w14:textId="77777777" w:rsidR="002F6325" w:rsidRDefault="002F6325" w:rsidP="008F2044">
      <w:pPr>
        <w:pStyle w:val="ListParagraph"/>
        <w:numPr>
          <w:ilvl w:val="0"/>
          <w:numId w:val="21"/>
        </w:numPr>
        <w:ind w:left="714" w:hanging="357"/>
        <w:contextualSpacing w:val="0"/>
      </w:pPr>
      <w:r>
        <w:t>Approaches to measurement do not align with the evidence that suggests services should be within 800m of a home if people are likely to prioritise walking</w:t>
      </w:r>
    </w:p>
    <w:p w14:paraId="5BCC7B78" w14:textId="77777777" w:rsidR="002F6325" w:rsidRDefault="002F6325" w:rsidP="008F2044">
      <w:pPr>
        <w:pStyle w:val="ListParagraph"/>
        <w:numPr>
          <w:ilvl w:val="0"/>
          <w:numId w:val="21"/>
        </w:numPr>
        <w:ind w:left="714" w:hanging="357"/>
        <w:contextualSpacing w:val="0"/>
      </w:pPr>
      <w:r>
        <w:t>Even where proximity is considered, barriers often prevent it from being considered in the final decision making</w:t>
      </w:r>
    </w:p>
    <w:p w14:paraId="4EA989C1" w14:textId="77777777" w:rsidR="002F6325" w:rsidRDefault="002F6325" w:rsidP="008F2044">
      <w:pPr>
        <w:pStyle w:val="ListParagraph"/>
        <w:numPr>
          <w:ilvl w:val="0"/>
          <w:numId w:val="21"/>
        </w:numPr>
        <w:ind w:left="714" w:hanging="357"/>
        <w:contextualSpacing w:val="0"/>
      </w:pPr>
      <w:r>
        <w:t>A lack of national standards is a major barrier to using proximity as a more significant reason to discount sites</w:t>
      </w:r>
    </w:p>
    <w:p w14:paraId="59167ED0" w14:textId="77777777" w:rsidR="002F6325" w:rsidRDefault="002F6325" w:rsidP="008F2044">
      <w:pPr>
        <w:pStyle w:val="Heading4"/>
      </w:pPr>
      <w:r>
        <w:t>The accessibility of local services is typically considered in Local Planning Authority site allocation processes</w:t>
      </w:r>
    </w:p>
    <w:p w14:paraId="4F0BD943" w14:textId="77777777" w:rsidR="002F6325" w:rsidRDefault="002F6325" w:rsidP="002F6325">
      <w:pPr>
        <w:ind w:right="-1"/>
      </w:pPr>
      <w:r>
        <w:t>Most LPAs do include access to services within their site allocation process in some way. 90% of LPAs consider accessibility to at least one type of amenity in their site allocation process, and over half consider proximity to 5-7 types of services (Figure 1).</w:t>
      </w:r>
    </w:p>
    <w:p w14:paraId="149AC82B" w14:textId="77777777" w:rsidR="002F6325" w:rsidRDefault="002F6325" w:rsidP="008F2044">
      <w:pPr>
        <w:pStyle w:val="Heading5"/>
      </w:pPr>
      <w:r>
        <w:t xml:space="preserve">Figure 1: Proportion of LPAs that include proximity to each service as a </w:t>
      </w:r>
      <w:proofErr w:type="gramStart"/>
      <w:r>
        <w:t>criteria/sub-criteria</w:t>
      </w:r>
      <w:proofErr w:type="gramEnd"/>
      <w:r>
        <w:t xml:space="preserve"> within the suitability assessment</w:t>
      </w:r>
    </w:p>
    <w:p w14:paraId="6FBB8508" w14:textId="77777777" w:rsidR="000B55C4" w:rsidRDefault="000B55C4" w:rsidP="000B55C4">
      <w:r>
        <w:t>Public transport: 70%, Primary school: 70%, GP: 60%, Town/district centre: 59%, Food shop: 54%, Green/open spaces: 44%, Other: 41%, Any: 90%, None: 10%.</w:t>
      </w:r>
    </w:p>
    <w:p w14:paraId="2B62347F" w14:textId="77777777" w:rsidR="000B55C4" w:rsidRDefault="000B55C4" w:rsidP="000B55C4"/>
    <w:p w14:paraId="10FDD185" w14:textId="1042FF28" w:rsidR="002F6325" w:rsidRDefault="002F6325" w:rsidP="002F6325">
      <w:pPr>
        <w:ind w:right="-1"/>
      </w:pPr>
      <w:r>
        <w:t xml:space="preserve">The interviews and the review of policy documents suggest that the main way in which service accessibility is considered is in Sustainability Appraisals (which appraise the social, </w:t>
      </w:r>
      <w:proofErr w:type="gramStart"/>
      <w:r>
        <w:t>environmental</w:t>
      </w:r>
      <w:proofErr w:type="gramEnd"/>
      <w:r>
        <w:t xml:space="preserve"> and economic effects of a plan</w:t>
      </w:r>
      <w:r w:rsidR="003B3E1B">
        <w:rPr>
          <w:rStyle w:val="EndnoteReference"/>
        </w:rPr>
        <w:endnoteReference w:id="25"/>
      </w:r>
      <w:r>
        <w:t xml:space="preserve">), where they are scored alongside other sustainability objectives. </w:t>
      </w:r>
    </w:p>
    <w:p w14:paraId="745BA21F" w14:textId="77777777" w:rsidR="002F6325" w:rsidRDefault="002F6325" w:rsidP="002F6325">
      <w:pPr>
        <w:ind w:right="-1"/>
      </w:pPr>
      <w:r>
        <w:t>Accessibility distances are often noted earlier in the suitability assessment within the Strategic Housing Land Availability Assessment (SHLAA), but not consistently, and are usually not scored.</w:t>
      </w:r>
    </w:p>
    <w:p w14:paraId="7A67720C" w14:textId="77777777" w:rsidR="002F6325" w:rsidRDefault="002F6325" w:rsidP="000B55C4">
      <w:pPr>
        <w:pStyle w:val="Heading4"/>
      </w:pPr>
      <w:r>
        <w:t>However, approaches to measure service accessibility by walking are inconsistent</w:t>
      </w:r>
    </w:p>
    <w:p w14:paraId="6D8F410D" w14:textId="77777777" w:rsidR="002F6325" w:rsidRDefault="002F6325" w:rsidP="002F6325">
      <w:pPr>
        <w:ind w:right="-1"/>
      </w:pPr>
      <w:r>
        <w:t xml:space="preserve">There is no consensus across LPAs on how to measure proximity, nor on what is considered ‘an acceptable’ distance. </w:t>
      </w:r>
    </w:p>
    <w:p w14:paraId="2BBF71F5" w14:textId="77777777" w:rsidR="002F6325" w:rsidRDefault="002F6325" w:rsidP="002F6325">
      <w:pPr>
        <w:ind w:right="-1"/>
      </w:pPr>
      <w:r>
        <w:t xml:space="preserve">The distance from a service over which a site would be classified as ‘poor’ or ‘unacceptable’ ranged from 240m to 5km. </w:t>
      </w:r>
    </w:p>
    <w:p w14:paraId="6A837C93" w14:textId="7F0AED27" w:rsidR="002F6325" w:rsidRDefault="002F6325" w:rsidP="002F6325">
      <w:pPr>
        <w:ind w:right="-1"/>
      </w:pPr>
      <w:r>
        <w:t>Furthermore, distance is measured by some LPAs following the road and path network, while others measure ‘as the crow flies’ Table 1. Depending on the area, a straight-line distance could be considerably longer when using the existing road network, as people often can’t travel as far as a straight line would indicate, particularly if streets are not permeable, as illustrated below in Figure 2</w:t>
      </w:r>
      <w:r w:rsidR="003B3E1B">
        <w:rPr>
          <w:rStyle w:val="EndnoteReference"/>
        </w:rPr>
        <w:endnoteReference w:id="26"/>
      </w:r>
      <w:r>
        <w:t>.</w:t>
      </w:r>
    </w:p>
    <w:p w14:paraId="514EF28F" w14:textId="77777777" w:rsidR="002F6325" w:rsidRDefault="002F6325" w:rsidP="000B55C4">
      <w:pPr>
        <w:pStyle w:val="Heading5"/>
      </w:pPr>
      <w:r>
        <w:t>Figure 2: Taken from CIHT (2018) Buses in Urban Developments</w:t>
      </w:r>
    </w:p>
    <w:p w14:paraId="05CA4562" w14:textId="2AE9D6BE" w:rsidR="000B55C4" w:rsidRDefault="000B55C4" w:rsidP="000B55C4">
      <w:r>
        <w:t>Diagram of comparison between 300m in a s</w:t>
      </w:r>
      <w:r w:rsidR="003B3E1B">
        <w:t>t</w:t>
      </w:r>
      <w:r>
        <w:t xml:space="preserve">raight line, as the crow flies, versus actual 300m walking catchment area. </w:t>
      </w:r>
    </w:p>
    <w:p w14:paraId="5CBC4C03" w14:textId="40C2A1E9" w:rsidR="002F6325" w:rsidRDefault="002F6325" w:rsidP="000B55C4">
      <w:pPr>
        <w:pStyle w:val="Heading5"/>
      </w:pPr>
      <w:r>
        <w:t>Table 1: Service accessibility measurement approach</w:t>
      </w:r>
    </w:p>
    <w:tbl>
      <w:tblPr>
        <w:tblStyle w:val="TableGrid"/>
        <w:tblW w:w="0" w:type="auto"/>
        <w:tblLook w:val="04A0" w:firstRow="1" w:lastRow="0" w:firstColumn="1" w:lastColumn="0" w:noHBand="0" w:noVBand="1"/>
      </w:tblPr>
      <w:tblGrid>
        <w:gridCol w:w="2053"/>
        <w:gridCol w:w="2053"/>
        <w:gridCol w:w="2053"/>
        <w:gridCol w:w="2053"/>
      </w:tblGrid>
      <w:tr w:rsidR="000B55C4" w14:paraId="4A6D339E" w14:textId="77777777" w:rsidTr="0033402B">
        <w:trPr>
          <w:tblHeader/>
        </w:trPr>
        <w:tc>
          <w:tcPr>
            <w:tcW w:w="2053" w:type="dxa"/>
          </w:tcPr>
          <w:p w14:paraId="5E91D82E" w14:textId="3DFB932B" w:rsidR="000B55C4" w:rsidRPr="0033402B" w:rsidRDefault="000B55C4" w:rsidP="002F6325">
            <w:pPr>
              <w:ind w:right="-1"/>
              <w:rPr>
                <w:rStyle w:val="Normalbold"/>
              </w:rPr>
            </w:pPr>
            <w:r w:rsidRPr="0033402B">
              <w:rPr>
                <w:rStyle w:val="Normalbold"/>
              </w:rPr>
              <w:t>Setting</w:t>
            </w:r>
          </w:p>
        </w:tc>
        <w:tc>
          <w:tcPr>
            <w:tcW w:w="2053" w:type="dxa"/>
          </w:tcPr>
          <w:p w14:paraId="1C1F3641" w14:textId="24283D2E" w:rsidR="000B55C4" w:rsidRPr="0033402B" w:rsidRDefault="000B55C4" w:rsidP="002F6325">
            <w:pPr>
              <w:ind w:right="-1"/>
              <w:rPr>
                <w:rStyle w:val="Normalbold"/>
              </w:rPr>
            </w:pPr>
            <w:r w:rsidRPr="0033402B">
              <w:rPr>
                <w:rStyle w:val="Normalbold"/>
              </w:rPr>
              <w:t>Road/ network distance</w:t>
            </w:r>
          </w:p>
        </w:tc>
        <w:tc>
          <w:tcPr>
            <w:tcW w:w="2053" w:type="dxa"/>
          </w:tcPr>
          <w:p w14:paraId="74711169" w14:textId="0DC2474B" w:rsidR="000B55C4" w:rsidRPr="0033402B" w:rsidRDefault="000B55C4" w:rsidP="002F6325">
            <w:pPr>
              <w:ind w:right="-1"/>
              <w:rPr>
                <w:rStyle w:val="Normalbold"/>
              </w:rPr>
            </w:pPr>
            <w:r w:rsidRPr="0033402B">
              <w:rPr>
                <w:rStyle w:val="Normalbold"/>
              </w:rPr>
              <w:t>% Straight line (as the crow flies)</w:t>
            </w:r>
          </w:p>
        </w:tc>
        <w:tc>
          <w:tcPr>
            <w:tcW w:w="2053" w:type="dxa"/>
          </w:tcPr>
          <w:p w14:paraId="30B5D305" w14:textId="08A3776F" w:rsidR="000B55C4" w:rsidRPr="0033402B" w:rsidRDefault="000B55C4" w:rsidP="002F6325">
            <w:pPr>
              <w:ind w:right="-1"/>
              <w:rPr>
                <w:rStyle w:val="Normalbold"/>
              </w:rPr>
            </w:pPr>
            <w:r w:rsidRPr="0033402B">
              <w:rPr>
                <w:rStyle w:val="Normalbold"/>
              </w:rPr>
              <w:t># Total respondents</w:t>
            </w:r>
          </w:p>
        </w:tc>
      </w:tr>
      <w:tr w:rsidR="000B55C4" w14:paraId="64B0768E" w14:textId="77777777" w:rsidTr="000B55C4">
        <w:tc>
          <w:tcPr>
            <w:tcW w:w="2053" w:type="dxa"/>
          </w:tcPr>
          <w:p w14:paraId="5A621534" w14:textId="24D473E2" w:rsidR="000B55C4" w:rsidRDefault="000B55C4" w:rsidP="002F6325">
            <w:pPr>
              <w:ind w:right="-1"/>
            </w:pPr>
            <w:r>
              <w:t>All settings</w:t>
            </w:r>
          </w:p>
        </w:tc>
        <w:tc>
          <w:tcPr>
            <w:tcW w:w="2053" w:type="dxa"/>
          </w:tcPr>
          <w:p w14:paraId="7FD45FCD" w14:textId="2C4E77C9" w:rsidR="000B55C4" w:rsidRDefault="000B55C4" w:rsidP="002F6325">
            <w:pPr>
              <w:ind w:right="-1"/>
            </w:pPr>
            <w:r>
              <w:t>56%</w:t>
            </w:r>
          </w:p>
        </w:tc>
        <w:tc>
          <w:tcPr>
            <w:tcW w:w="2053" w:type="dxa"/>
          </w:tcPr>
          <w:p w14:paraId="116C3B9A" w14:textId="20520275" w:rsidR="000B55C4" w:rsidRDefault="000B55C4" w:rsidP="002F6325">
            <w:pPr>
              <w:ind w:right="-1"/>
            </w:pPr>
            <w:r>
              <w:t>44%</w:t>
            </w:r>
          </w:p>
        </w:tc>
        <w:tc>
          <w:tcPr>
            <w:tcW w:w="2053" w:type="dxa"/>
          </w:tcPr>
          <w:p w14:paraId="00374DCE" w14:textId="23B09814" w:rsidR="000B55C4" w:rsidRDefault="000B55C4" w:rsidP="002F6325">
            <w:pPr>
              <w:ind w:right="-1"/>
            </w:pPr>
            <w:r>
              <w:t>82</w:t>
            </w:r>
          </w:p>
        </w:tc>
      </w:tr>
    </w:tbl>
    <w:p w14:paraId="3093AB84" w14:textId="77777777" w:rsidR="002F6325" w:rsidRDefault="002F6325" w:rsidP="002F6325">
      <w:pPr>
        <w:ind w:right="-1"/>
      </w:pPr>
    </w:p>
    <w:p w14:paraId="2C27ADE9" w14:textId="77777777" w:rsidR="002F6325" w:rsidRDefault="002F6325" w:rsidP="002F6325">
      <w:pPr>
        <w:ind w:right="-1"/>
      </w:pPr>
      <w:r>
        <w:t>Further inconsistencies exist in where distances are measured from. Some LPAs base measurement from the edge of the site, others from the centre of the site, and a small number from the centre of Lower Super Output Areas (areas with an average population of 1500 people or 650 households).</w:t>
      </w:r>
    </w:p>
    <w:p w14:paraId="09479E03" w14:textId="77777777" w:rsidR="002F6325" w:rsidRDefault="002F6325" w:rsidP="002F6325">
      <w:pPr>
        <w:ind w:right="-1"/>
      </w:pPr>
      <w:r>
        <w:t>Half of rural LPAs and 45% of urban LPAs use the edge of the site to measure proximity. Depending on the scale of the future development and the street and path layout within the site, this could add several hundred metres to residents’ journeys (Table 2).</w:t>
      </w:r>
    </w:p>
    <w:p w14:paraId="1B858ED1" w14:textId="77777777" w:rsidR="002F6325" w:rsidRDefault="002F6325" w:rsidP="000B55C4">
      <w:pPr>
        <w:pStyle w:val="Heading5"/>
      </w:pPr>
      <w:r>
        <w:t>Table 2: Service accessibility measurement approach in relation to the site</w:t>
      </w:r>
    </w:p>
    <w:tbl>
      <w:tblPr>
        <w:tblStyle w:val="TableGrid"/>
        <w:tblW w:w="0" w:type="auto"/>
        <w:tblLook w:val="04A0" w:firstRow="1" w:lastRow="0" w:firstColumn="1" w:lastColumn="0" w:noHBand="0" w:noVBand="1"/>
      </w:tblPr>
      <w:tblGrid>
        <w:gridCol w:w="1938"/>
        <w:gridCol w:w="1247"/>
        <w:gridCol w:w="1102"/>
        <w:gridCol w:w="1247"/>
        <w:gridCol w:w="1021"/>
        <w:gridCol w:w="1657"/>
      </w:tblGrid>
      <w:tr w:rsidR="000B55C4" w14:paraId="27613BAC" w14:textId="77777777" w:rsidTr="0033402B">
        <w:trPr>
          <w:tblHeader/>
        </w:trPr>
        <w:tc>
          <w:tcPr>
            <w:tcW w:w="1368" w:type="dxa"/>
          </w:tcPr>
          <w:p w14:paraId="56B928A0" w14:textId="7B4D43E9" w:rsidR="000B55C4" w:rsidRPr="0033402B" w:rsidRDefault="000B55C4" w:rsidP="000B55C4">
            <w:pPr>
              <w:ind w:right="-1"/>
              <w:rPr>
                <w:rStyle w:val="Normalbold"/>
              </w:rPr>
            </w:pPr>
            <w:r w:rsidRPr="0033402B">
              <w:rPr>
                <w:rStyle w:val="Normalbold"/>
              </w:rPr>
              <w:t>Setting</w:t>
            </w:r>
          </w:p>
        </w:tc>
        <w:tc>
          <w:tcPr>
            <w:tcW w:w="1368" w:type="dxa"/>
          </w:tcPr>
          <w:p w14:paraId="185877B1" w14:textId="5E333868" w:rsidR="000B55C4" w:rsidRPr="0033402B" w:rsidRDefault="000B55C4" w:rsidP="000B55C4">
            <w:pPr>
              <w:ind w:right="-1"/>
              <w:rPr>
                <w:rStyle w:val="Normalbold"/>
              </w:rPr>
            </w:pPr>
            <w:r w:rsidRPr="0033402B">
              <w:rPr>
                <w:rStyle w:val="Normalbold"/>
              </w:rPr>
              <w:t>Centre of develop.</w:t>
            </w:r>
          </w:p>
        </w:tc>
        <w:tc>
          <w:tcPr>
            <w:tcW w:w="1369" w:type="dxa"/>
          </w:tcPr>
          <w:p w14:paraId="14F4748E" w14:textId="6E07C3DF" w:rsidR="000B55C4" w:rsidRPr="0033402B" w:rsidRDefault="000B55C4" w:rsidP="000B55C4">
            <w:pPr>
              <w:ind w:right="-1"/>
              <w:rPr>
                <w:rStyle w:val="Normalbold"/>
              </w:rPr>
            </w:pPr>
            <w:r w:rsidRPr="0033402B">
              <w:rPr>
                <w:rStyle w:val="Normalbold"/>
              </w:rPr>
              <w:t>Centre of LSOA</w:t>
            </w:r>
          </w:p>
        </w:tc>
        <w:tc>
          <w:tcPr>
            <w:tcW w:w="1369" w:type="dxa"/>
          </w:tcPr>
          <w:p w14:paraId="0128285B" w14:textId="3AF236E7" w:rsidR="000B55C4" w:rsidRPr="0033402B" w:rsidRDefault="000B55C4" w:rsidP="000B55C4">
            <w:pPr>
              <w:ind w:right="-1"/>
              <w:rPr>
                <w:rStyle w:val="Normalbold"/>
              </w:rPr>
            </w:pPr>
            <w:r w:rsidRPr="0033402B">
              <w:rPr>
                <w:rStyle w:val="Normalbold"/>
              </w:rPr>
              <w:t>Edge of develop.</w:t>
            </w:r>
          </w:p>
        </w:tc>
        <w:tc>
          <w:tcPr>
            <w:tcW w:w="1369" w:type="dxa"/>
          </w:tcPr>
          <w:p w14:paraId="7CA0EA72" w14:textId="7930FD2D" w:rsidR="000B55C4" w:rsidRPr="0033402B" w:rsidRDefault="000B55C4" w:rsidP="000B55C4">
            <w:pPr>
              <w:ind w:right="-1"/>
              <w:rPr>
                <w:rStyle w:val="Normalbold"/>
              </w:rPr>
            </w:pPr>
            <w:r w:rsidRPr="0033402B">
              <w:rPr>
                <w:rStyle w:val="Normalbold"/>
              </w:rPr>
              <w:t>Other</w:t>
            </w:r>
          </w:p>
        </w:tc>
        <w:tc>
          <w:tcPr>
            <w:tcW w:w="1369" w:type="dxa"/>
          </w:tcPr>
          <w:p w14:paraId="444F0AE1" w14:textId="676DAF91" w:rsidR="000B55C4" w:rsidRPr="0033402B" w:rsidRDefault="000B55C4" w:rsidP="000B55C4">
            <w:pPr>
              <w:ind w:right="-1"/>
              <w:rPr>
                <w:rStyle w:val="Normalbold"/>
              </w:rPr>
            </w:pPr>
            <w:r w:rsidRPr="0033402B">
              <w:rPr>
                <w:rStyle w:val="Normalbold"/>
              </w:rPr>
              <w:t># Total respondents</w:t>
            </w:r>
          </w:p>
        </w:tc>
      </w:tr>
      <w:tr w:rsidR="000B55C4" w14:paraId="3C71083E" w14:textId="77777777" w:rsidTr="000B55C4">
        <w:tc>
          <w:tcPr>
            <w:tcW w:w="1368" w:type="dxa"/>
          </w:tcPr>
          <w:p w14:paraId="583AF878" w14:textId="75F53034" w:rsidR="000B55C4" w:rsidRDefault="000B55C4" w:rsidP="000B55C4">
            <w:pPr>
              <w:ind w:right="-1"/>
            </w:pPr>
            <w:r w:rsidRPr="00E16DD6">
              <w:t>Rural</w:t>
            </w:r>
          </w:p>
        </w:tc>
        <w:tc>
          <w:tcPr>
            <w:tcW w:w="1368" w:type="dxa"/>
          </w:tcPr>
          <w:p w14:paraId="695AFC44" w14:textId="5A47359F" w:rsidR="000B55C4" w:rsidRDefault="000B55C4" w:rsidP="000B55C4">
            <w:pPr>
              <w:ind w:right="-1"/>
            </w:pPr>
            <w:r w:rsidRPr="00E16DD6">
              <w:t>39%</w:t>
            </w:r>
          </w:p>
        </w:tc>
        <w:tc>
          <w:tcPr>
            <w:tcW w:w="1369" w:type="dxa"/>
          </w:tcPr>
          <w:p w14:paraId="628CB363" w14:textId="78E102FA" w:rsidR="000B55C4" w:rsidRDefault="000B55C4" w:rsidP="000B55C4">
            <w:pPr>
              <w:ind w:right="-1"/>
            </w:pPr>
            <w:r w:rsidRPr="00E16DD6">
              <w:t>0%</w:t>
            </w:r>
          </w:p>
        </w:tc>
        <w:tc>
          <w:tcPr>
            <w:tcW w:w="1369" w:type="dxa"/>
          </w:tcPr>
          <w:p w14:paraId="4ACAD261" w14:textId="6B3C3870" w:rsidR="000B55C4" w:rsidRDefault="000B55C4" w:rsidP="000B55C4">
            <w:pPr>
              <w:ind w:right="-1"/>
            </w:pPr>
            <w:r w:rsidRPr="00E16DD6">
              <w:t>50%</w:t>
            </w:r>
          </w:p>
        </w:tc>
        <w:tc>
          <w:tcPr>
            <w:tcW w:w="1369" w:type="dxa"/>
          </w:tcPr>
          <w:p w14:paraId="61F59EEA" w14:textId="004E1834" w:rsidR="000B55C4" w:rsidRDefault="000B55C4" w:rsidP="000B55C4">
            <w:pPr>
              <w:ind w:right="-1"/>
            </w:pPr>
            <w:r w:rsidRPr="00E16DD6">
              <w:t>11%</w:t>
            </w:r>
          </w:p>
        </w:tc>
        <w:tc>
          <w:tcPr>
            <w:tcW w:w="1369" w:type="dxa"/>
          </w:tcPr>
          <w:p w14:paraId="26DE6262" w14:textId="4F032B93" w:rsidR="000B55C4" w:rsidRDefault="000B55C4" w:rsidP="000B55C4">
            <w:pPr>
              <w:ind w:right="-1"/>
            </w:pPr>
            <w:r w:rsidRPr="00E16DD6">
              <w:t>44</w:t>
            </w:r>
          </w:p>
        </w:tc>
      </w:tr>
      <w:tr w:rsidR="000B55C4" w14:paraId="1B6DC197" w14:textId="77777777" w:rsidTr="000B55C4">
        <w:tc>
          <w:tcPr>
            <w:tcW w:w="1368" w:type="dxa"/>
          </w:tcPr>
          <w:p w14:paraId="575606AB" w14:textId="47AB9872" w:rsidR="000B55C4" w:rsidRDefault="000B55C4" w:rsidP="000B55C4">
            <w:pPr>
              <w:ind w:right="-1"/>
            </w:pPr>
            <w:r w:rsidRPr="00E16DD6">
              <w:t>Urban/suburban</w:t>
            </w:r>
          </w:p>
        </w:tc>
        <w:tc>
          <w:tcPr>
            <w:tcW w:w="1368" w:type="dxa"/>
          </w:tcPr>
          <w:p w14:paraId="1A4AA74A" w14:textId="1D0420D0" w:rsidR="000B55C4" w:rsidRDefault="000B55C4" w:rsidP="000B55C4">
            <w:pPr>
              <w:ind w:right="-1"/>
            </w:pPr>
            <w:r w:rsidRPr="00E16DD6">
              <w:t>66%</w:t>
            </w:r>
          </w:p>
        </w:tc>
        <w:tc>
          <w:tcPr>
            <w:tcW w:w="1369" w:type="dxa"/>
          </w:tcPr>
          <w:p w14:paraId="3D007B34" w14:textId="426B8568" w:rsidR="000B55C4" w:rsidRDefault="000B55C4" w:rsidP="000B55C4">
            <w:pPr>
              <w:ind w:right="-1"/>
            </w:pPr>
            <w:r w:rsidRPr="00E16DD6">
              <w:t>3%</w:t>
            </w:r>
          </w:p>
        </w:tc>
        <w:tc>
          <w:tcPr>
            <w:tcW w:w="1369" w:type="dxa"/>
          </w:tcPr>
          <w:p w14:paraId="56835201" w14:textId="31E9C950" w:rsidR="000B55C4" w:rsidRDefault="000B55C4" w:rsidP="000B55C4">
            <w:pPr>
              <w:ind w:right="-1"/>
            </w:pPr>
            <w:r w:rsidRPr="00E16DD6">
              <w:t>24%</w:t>
            </w:r>
          </w:p>
        </w:tc>
        <w:tc>
          <w:tcPr>
            <w:tcW w:w="1369" w:type="dxa"/>
          </w:tcPr>
          <w:p w14:paraId="06EDE195" w14:textId="70DCD66E" w:rsidR="000B55C4" w:rsidRDefault="000B55C4" w:rsidP="000B55C4">
            <w:pPr>
              <w:ind w:right="-1"/>
            </w:pPr>
            <w:r w:rsidRPr="00E16DD6">
              <w:t>7%</w:t>
            </w:r>
          </w:p>
        </w:tc>
        <w:tc>
          <w:tcPr>
            <w:tcW w:w="1369" w:type="dxa"/>
          </w:tcPr>
          <w:p w14:paraId="6EF3D636" w14:textId="631B2807" w:rsidR="000B55C4" w:rsidRDefault="000B55C4" w:rsidP="000B55C4">
            <w:pPr>
              <w:ind w:right="-1"/>
            </w:pPr>
            <w:r w:rsidRPr="00E16DD6">
              <w:t>29</w:t>
            </w:r>
          </w:p>
        </w:tc>
      </w:tr>
      <w:tr w:rsidR="000B55C4" w14:paraId="5A7AE48C" w14:textId="77777777" w:rsidTr="000B55C4">
        <w:tc>
          <w:tcPr>
            <w:tcW w:w="1368" w:type="dxa"/>
          </w:tcPr>
          <w:p w14:paraId="5CA88DF4" w14:textId="23DB8E4E" w:rsidR="000B55C4" w:rsidRDefault="000B55C4" w:rsidP="000B55C4">
            <w:pPr>
              <w:ind w:right="-1"/>
            </w:pPr>
            <w:r w:rsidRPr="00E16DD6">
              <w:t>Urban</w:t>
            </w:r>
          </w:p>
        </w:tc>
        <w:tc>
          <w:tcPr>
            <w:tcW w:w="1368" w:type="dxa"/>
          </w:tcPr>
          <w:p w14:paraId="495AAA26" w14:textId="38EF002E" w:rsidR="000B55C4" w:rsidRDefault="000B55C4" w:rsidP="000B55C4">
            <w:pPr>
              <w:ind w:right="-1"/>
            </w:pPr>
            <w:r w:rsidRPr="00E16DD6">
              <w:t>27%</w:t>
            </w:r>
          </w:p>
        </w:tc>
        <w:tc>
          <w:tcPr>
            <w:tcW w:w="1369" w:type="dxa"/>
          </w:tcPr>
          <w:p w14:paraId="363E4BD9" w14:textId="43E6C73E" w:rsidR="000B55C4" w:rsidRDefault="000B55C4" w:rsidP="000B55C4">
            <w:pPr>
              <w:ind w:right="-1"/>
            </w:pPr>
            <w:r w:rsidRPr="00E16DD6">
              <w:t>0%</w:t>
            </w:r>
          </w:p>
        </w:tc>
        <w:tc>
          <w:tcPr>
            <w:tcW w:w="1369" w:type="dxa"/>
          </w:tcPr>
          <w:p w14:paraId="0EF087B8" w14:textId="077669E5" w:rsidR="000B55C4" w:rsidRDefault="000B55C4" w:rsidP="000B55C4">
            <w:pPr>
              <w:ind w:right="-1"/>
            </w:pPr>
            <w:r w:rsidRPr="00E16DD6">
              <w:t>45%</w:t>
            </w:r>
          </w:p>
        </w:tc>
        <w:tc>
          <w:tcPr>
            <w:tcW w:w="1369" w:type="dxa"/>
          </w:tcPr>
          <w:p w14:paraId="3C93670D" w14:textId="64C93DE5" w:rsidR="000B55C4" w:rsidRDefault="000B55C4" w:rsidP="000B55C4">
            <w:pPr>
              <w:ind w:right="-1"/>
            </w:pPr>
            <w:r w:rsidRPr="00E16DD6">
              <w:t>27%</w:t>
            </w:r>
          </w:p>
        </w:tc>
        <w:tc>
          <w:tcPr>
            <w:tcW w:w="1369" w:type="dxa"/>
          </w:tcPr>
          <w:p w14:paraId="7DE522F4" w14:textId="175873E1" w:rsidR="000B55C4" w:rsidRDefault="000B55C4" w:rsidP="000B55C4">
            <w:pPr>
              <w:ind w:right="-1"/>
            </w:pPr>
            <w:r w:rsidRPr="00E16DD6">
              <w:t>11</w:t>
            </w:r>
          </w:p>
        </w:tc>
      </w:tr>
      <w:tr w:rsidR="000B55C4" w14:paraId="126E1BBE" w14:textId="77777777" w:rsidTr="000B55C4">
        <w:tc>
          <w:tcPr>
            <w:tcW w:w="1368" w:type="dxa"/>
          </w:tcPr>
          <w:p w14:paraId="379EBD14" w14:textId="3762319E" w:rsidR="000B55C4" w:rsidRDefault="000B55C4" w:rsidP="000B55C4">
            <w:pPr>
              <w:ind w:right="-1"/>
            </w:pPr>
            <w:r w:rsidRPr="00E16DD6">
              <w:t>All settings</w:t>
            </w:r>
          </w:p>
        </w:tc>
        <w:tc>
          <w:tcPr>
            <w:tcW w:w="1368" w:type="dxa"/>
          </w:tcPr>
          <w:p w14:paraId="5FC88985" w14:textId="4D163AB0" w:rsidR="000B55C4" w:rsidRDefault="000B55C4" w:rsidP="000B55C4">
            <w:pPr>
              <w:ind w:right="-1"/>
            </w:pPr>
            <w:r w:rsidRPr="00E16DD6">
              <w:t>46%</w:t>
            </w:r>
          </w:p>
        </w:tc>
        <w:tc>
          <w:tcPr>
            <w:tcW w:w="1369" w:type="dxa"/>
          </w:tcPr>
          <w:p w14:paraId="2B50AAAE" w14:textId="68D645EE" w:rsidR="000B55C4" w:rsidRDefault="000B55C4" w:rsidP="000B55C4">
            <w:pPr>
              <w:ind w:right="-1"/>
            </w:pPr>
            <w:r w:rsidRPr="00E16DD6">
              <w:t>1%</w:t>
            </w:r>
          </w:p>
        </w:tc>
        <w:tc>
          <w:tcPr>
            <w:tcW w:w="1369" w:type="dxa"/>
          </w:tcPr>
          <w:p w14:paraId="50B0963F" w14:textId="7F45AD0C" w:rsidR="000B55C4" w:rsidRDefault="000B55C4" w:rsidP="000B55C4">
            <w:pPr>
              <w:ind w:right="-1"/>
            </w:pPr>
            <w:r w:rsidRPr="00E16DD6">
              <w:t>40%</w:t>
            </w:r>
          </w:p>
        </w:tc>
        <w:tc>
          <w:tcPr>
            <w:tcW w:w="1369" w:type="dxa"/>
          </w:tcPr>
          <w:p w14:paraId="2180E234" w14:textId="2F0CB3A6" w:rsidR="000B55C4" w:rsidRDefault="000B55C4" w:rsidP="000B55C4">
            <w:pPr>
              <w:ind w:right="-1"/>
            </w:pPr>
            <w:r w:rsidRPr="00E16DD6">
              <w:t>12%</w:t>
            </w:r>
          </w:p>
        </w:tc>
        <w:tc>
          <w:tcPr>
            <w:tcW w:w="1369" w:type="dxa"/>
          </w:tcPr>
          <w:p w14:paraId="6872AD45" w14:textId="1554BEC0" w:rsidR="000B55C4" w:rsidRDefault="000B55C4" w:rsidP="000B55C4">
            <w:pPr>
              <w:ind w:right="-1"/>
            </w:pPr>
            <w:r w:rsidRPr="00E16DD6">
              <w:t>84</w:t>
            </w:r>
          </w:p>
        </w:tc>
      </w:tr>
    </w:tbl>
    <w:p w14:paraId="0FC5D4C7" w14:textId="77777777" w:rsidR="000B55C4" w:rsidRDefault="000B55C4" w:rsidP="002F6325">
      <w:pPr>
        <w:ind w:right="-1"/>
      </w:pPr>
    </w:p>
    <w:p w14:paraId="6123673E" w14:textId="77777777" w:rsidR="002F6325" w:rsidRDefault="002F6325" w:rsidP="002F6325">
      <w:pPr>
        <w:ind w:right="-1"/>
      </w:pPr>
    </w:p>
    <w:p w14:paraId="263C8F5D" w14:textId="77777777" w:rsidR="002F6325" w:rsidRDefault="002F6325" w:rsidP="002F6325">
      <w:pPr>
        <w:ind w:right="-1"/>
      </w:pPr>
      <w:r>
        <w:t xml:space="preserve">Additional differences exist in LPAs’ methods for assessing whether a site would be close enough to services. </w:t>
      </w:r>
    </w:p>
    <w:p w14:paraId="7C54B474" w14:textId="77777777" w:rsidR="002F6325" w:rsidRDefault="002F6325" w:rsidP="002F6325">
      <w:pPr>
        <w:ind w:right="-1"/>
      </w:pPr>
      <w:r>
        <w:t xml:space="preserve">Some use a range of distances, such as &lt;400m, 400-800m, 800-1200m, &gt;1200m, with sites closer to services scoring better than those further away. </w:t>
      </w:r>
    </w:p>
    <w:p w14:paraId="589BC5E4" w14:textId="77777777" w:rsidR="002F6325" w:rsidRDefault="002F6325" w:rsidP="002F6325">
      <w:pPr>
        <w:ind w:right="-1"/>
      </w:pPr>
      <w:r>
        <w:t xml:space="preserve">Others use a threshold, where any site within a set distance of services would be acceptable, no matter how near or far it fell within that distance. </w:t>
      </w:r>
    </w:p>
    <w:p w14:paraId="6B03B07D" w14:textId="77777777" w:rsidR="002F6325" w:rsidRDefault="002F6325" w:rsidP="002F6325">
      <w:pPr>
        <w:ind w:right="-1"/>
      </w:pPr>
      <w:r>
        <w:t>All of this results in vastly different outcomes in relation to the distances to services that are considered acceptable in different parts of the country.</w:t>
      </w:r>
    </w:p>
    <w:p w14:paraId="0796A47F" w14:textId="77777777" w:rsidR="002F6325" w:rsidRDefault="002F6325" w:rsidP="000B55C4">
      <w:pPr>
        <w:pStyle w:val="Heading4"/>
      </w:pPr>
      <w:r>
        <w:t>Approaches to measurement do not align with the evidence that suggests services should be within 800m of a home if people are likely to prioritise walking</w:t>
      </w:r>
    </w:p>
    <w:p w14:paraId="393163FE" w14:textId="77777777" w:rsidR="002F6325" w:rsidRDefault="002F6325" w:rsidP="002F6325">
      <w:pPr>
        <w:ind w:right="-1"/>
      </w:pPr>
      <w:r>
        <w:t xml:space="preserve">Despite research and guidance from several professional bodies, as well as National Design Guidance giving 800m as a distance </w:t>
      </w:r>
      <w:proofErr w:type="gramStart"/>
      <w:r>
        <w:t>a majority of</w:t>
      </w:r>
      <w:proofErr w:type="gramEnd"/>
      <w:r>
        <w:t xml:space="preserve"> people are willing to walk, fewer than half of responding LPAs use a distance at or below 800m as the maximum acceptable distance for accessibility. In addition, many LPAs also use an ‘as the crow flies’ approach to measuring 800m distances, which may add considerable distances depending on the road and path network. </w:t>
      </w:r>
    </w:p>
    <w:p w14:paraId="36D5E888" w14:textId="77777777" w:rsidR="002F6325" w:rsidRDefault="002F6325" w:rsidP="002F6325">
      <w:pPr>
        <w:ind w:right="-1"/>
      </w:pPr>
      <w:r>
        <w:t>This varies by setting and by destination. For example, 40% of LPAs use 400m as the maximum distance for proximity to bus stops, but only 20% use the greater distance of 800m as a maximum to primary schools or GP surgeries. Many LPAs consider over 1600m acceptable for some types of service, more than double the recognised 800m distance (Figure 3).</w:t>
      </w:r>
    </w:p>
    <w:p w14:paraId="47467A67" w14:textId="30B0C6D4" w:rsidR="002F6325" w:rsidRDefault="002F6325" w:rsidP="000B55C4">
      <w:pPr>
        <w:pStyle w:val="Heading5"/>
      </w:pPr>
      <w:r>
        <w:t>Figure 3: Proportion of maximum acceptable distance at or below 800m, above 800m and above 1600m by service type</w:t>
      </w:r>
    </w:p>
    <w:p w14:paraId="54E572F6" w14:textId="77777777" w:rsidR="000B55C4" w:rsidRDefault="000B55C4" w:rsidP="000B55C4">
      <w:r>
        <w:t>&lt;=800m: bus 69%, train 36%, town centre 24%, green space 36%, GP 22</w:t>
      </w:r>
      <w:proofErr w:type="gramStart"/>
      <w:r>
        <w:t>%,  primary</w:t>
      </w:r>
      <w:proofErr w:type="gramEnd"/>
      <w:r>
        <w:t xml:space="preserve"> school 21%, food 39%. </w:t>
      </w:r>
    </w:p>
    <w:p w14:paraId="01782F86" w14:textId="77777777" w:rsidR="000B55C4" w:rsidRDefault="000B55C4" w:rsidP="000B55C4">
      <w:r>
        <w:t xml:space="preserve">&gt;800m: bus 31%, train 64%, town centre 76%, green space 64%, GP 78%, primary school 79%, food 61%. </w:t>
      </w:r>
    </w:p>
    <w:p w14:paraId="7AC3C739" w14:textId="77777777" w:rsidR="000B55C4" w:rsidRDefault="000B55C4" w:rsidP="000B55C4">
      <w:r>
        <w:t xml:space="preserve">&gt;1600m: bus 9%, train 31%, town centre 32%, green space 4%, GP 29%, primary school 40%, food 33%. </w:t>
      </w:r>
    </w:p>
    <w:p w14:paraId="08C89374" w14:textId="77777777" w:rsidR="000B55C4" w:rsidRPr="000B55C4" w:rsidRDefault="000B55C4" w:rsidP="000B55C4"/>
    <w:p w14:paraId="75D2A8D1" w14:textId="77777777" w:rsidR="002F6325" w:rsidRDefault="002F6325" w:rsidP="002F6325">
      <w:pPr>
        <w:ind w:right="-1"/>
      </w:pPr>
      <w:r>
        <w:t xml:space="preserve">In some LPAs, there is also an assumption that if a site is allocated within a settlement boundary, the site must be in a sustainable location. </w:t>
      </w:r>
    </w:p>
    <w:p w14:paraId="2DA34D3E" w14:textId="77777777" w:rsidR="002F6325" w:rsidRDefault="002F6325" w:rsidP="002F6325">
      <w:pPr>
        <w:ind w:right="-1"/>
      </w:pPr>
      <w:r>
        <w:t>“If it is within a built-up area, it’s always assumed that it can come forward” Officer at a rural LPA</w:t>
      </w:r>
    </w:p>
    <w:p w14:paraId="6CD70BFA" w14:textId="77777777" w:rsidR="002F6325" w:rsidRDefault="002F6325" w:rsidP="002F6325">
      <w:pPr>
        <w:ind w:right="-1"/>
      </w:pPr>
      <w:r>
        <w:t xml:space="preserve">However, many LPAs use audits of services within their towns and villages that are several years old, a process that rarely includes mapping specific locations, meaning that these assessments may not be accurate or that the services may no longer exist. </w:t>
      </w:r>
    </w:p>
    <w:p w14:paraId="10F36877" w14:textId="77777777" w:rsidR="002F6325" w:rsidRDefault="002F6325" w:rsidP="002F6325">
      <w:pPr>
        <w:ind w:right="-1"/>
      </w:pPr>
      <w:r>
        <w:t xml:space="preserve">For larger towns, the settlement boundary may be several miles walking or wheeling distance from the town centre, making this an unsatisfactory way of assessing walkable proximity. </w:t>
      </w:r>
    </w:p>
    <w:p w14:paraId="64FB4D68" w14:textId="77777777" w:rsidR="002F6325" w:rsidRDefault="002F6325" w:rsidP="000B55C4">
      <w:pPr>
        <w:pStyle w:val="Heading4"/>
      </w:pPr>
      <w:r>
        <w:t xml:space="preserve">Even when proximity is considered, it rarely leads to sites being rejected </w:t>
      </w:r>
    </w:p>
    <w:p w14:paraId="17D5871E" w14:textId="77777777" w:rsidR="002F6325" w:rsidRDefault="002F6325" w:rsidP="002F6325">
      <w:pPr>
        <w:ind w:right="-1"/>
      </w:pPr>
      <w:r>
        <w:t>Overall, 47% of LPAs reported that they have discounted or excluded sites with lack of accessibility to at least one type of service as a contributing factor. However, 20% of LPAs reported that they rarely reject sites that are deliverable/achievable, no matter what the assessment of proximity shows. As shown below, some services are used by LPAs to discount sites more than others.</w:t>
      </w:r>
    </w:p>
    <w:p w14:paraId="75AD58CC" w14:textId="0F4C810D" w:rsidR="002F6325" w:rsidRDefault="002F6325" w:rsidP="000B55C4">
      <w:pPr>
        <w:pStyle w:val="Heading5"/>
      </w:pPr>
      <w:r>
        <w:t>Figure 4: Proportion of respondents’ answers to ‘During the Strategic Housing Land Availability Assessment/site allocation process, has access to X been used to reject a site’s suitability?’ by service type.</w:t>
      </w:r>
    </w:p>
    <w:p w14:paraId="04FF963C" w14:textId="483A91EB" w:rsidR="000B55C4" w:rsidRPr="000B55C4" w:rsidRDefault="000B55C4" w:rsidP="000B55C4">
      <w:r>
        <w:t xml:space="preserve">Graph </w:t>
      </w:r>
      <w:proofErr w:type="gramStart"/>
      <w:r>
        <w:t>showing:</w:t>
      </w:r>
      <w:proofErr w:type="gramEnd"/>
      <w:r>
        <w:t xml:space="preserve"> roughly equal split between yes and no categories for public transport, majority no for primary schools, roughly equal split between yes and no for district/town centres, majority no for GP/healthcare, food shops and green spaces.  </w:t>
      </w:r>
    </w:p>
    <w:p w14:paraId="16346E37" w14:textId="09FCC1CF" w:rsidR="002F6325" w:rsidRDefault="002F6325" w:rsidP="002F6325">
      <w:pPr>
        <w:ind w:right="-1"/>
      </w:pPr>
      <w:r w:rsidRPr="000B55C4">
        <w:rPr>
          <w:rStyle w:val="Normalbold"/>
        </w:rPr>
        <w:t>Note:</w:t>
      </w:r>
      <w:r>
        <w:t xml:space="preserve"> Percentages are based on respondents who indicated their LPA considers proximity to that destination within the site allocation process, not the total respondents. </w:t>
      </w:r>
    </w:p>
    <w:p w14:paraId="40A3E915" w14:textId="77777777" w:rsidR="000B55C4" w:rsidRDefault="000B55C4" w:rsidP="002F6325">
      <w:pPr>
        <w:ind w:right="-1"/>
      </w:pPr>
    </w:p>
    <w:p w14:paraId="7475013B" w14:textId="77777777" w:rsidR="002F6325" w:rsidRDefault="002F6325" w:rsidP="002F6325">
      <w:pPr>
        <w:ind w:right="-1"/>
      </w:pPr>
      <w:r>
        <w:t xml:space="preserve">Only 16% of LPAs reported proximity as a major reason for a site being discounted. Instead, interviews highlighted that LPAs felt more comfortable assessing accessibility alongside other criteria. Most often, this was done in the Sustainability Appraisal. </w:t>
      </w:r>
    </w:p>
    <w:p w14:paraId="47BD18B0" w14:textId="77777777" w:rsidR="002F6325" w:rsidRDefault="002F6325" w:rsidP="002F6325">
      <w:pPr>
        <w:ind w:right="-1"/>
      </w:pPr>
      <w:r>
        <w:t>“Accessibility is … a very good yardstick. But then, you need to bring in the other factors to get that sort of main measure … It’s not the only measure.” Officer from rural LPA</w:t>
      </w:r>
    </w:p>
    <w:p w14:paraId="3C68F347" w14:textId="77777777" w:rsidR="002F6325" w:rsidRDefault="002F6325" w:rsidP="002F6325">
      <w:pPr>
        <w:ind w:right="-1"/>
      </w:pPr>
      <w:r>
        <w:t xml:space="preserve">Even for those who do consider proximity and have policy and an evidence base to support this decision, there is a reluctance to exclude sites solely based on proximity, and we identified several barriers to doing so. </w:t>
      </w:r>
    </w:p>
    <w:p w14:paraId="2149AE61" w14:textId="77777777" w:rsidR="002F6325" w:rsidRDefault="002F6325" w:rsidP="002F6325">
      <w:pPr>
        <w:ind w:right="-1"/>
      </w:pPr>
      <w:r>
        <w:t xml:space="preserve">As well as a lack of robust planning guidance or regulation, a lack of deliverable sites within walking distance, and the prioritisation of other suitability criteria </w:t>
      </w:r>
      <w:proofErr w:type="gramStart"/>
      <w:r>
        <w:t>were considered to be</w:t>
      </w:r>
      <w:proofErr w:type="gramEnd"/>
      <w:r>
        <w:t xml:space="preserve"> of particular importance (Table 3). </w:t>
      </w:r>
    </w:p>
    <w:p w14:paraId="22B392EF" w14:textId="77777777" w:rsidR="002F6325" w:rsidRDefault="002F6325" w:rsidP="000B55C4">
      <w:pPr>
        <w:pStyle w:val="Heading5"/>
      </w:pPr>
      <w:r>
        <w:t>Table 3: Barriers to using proximity to shops and other services in site allocation</w:t>
      </w:r>
    </w:p>
    <w:tbl>
      <w:tblPr>
        <w:tblStyle w:val="TableGrid"/>
        <w:tblW w:w="0" w:type="auto"/>
        <w:tblLook w:val="04A0" w:firstRow="1" w:lastRow="0" w:firstColumn="1" w:lastColumn="0" w:noHBand="0" w:noVBand="1"/>
      </w:tblPr>
      <w:tblGrid>
        <w:gridCol w:w="6658"/>
        <w:gridCol w:w="1554"/>
      </w:tblGrid>
      <w:tr w:rsidR="000B55C4" w14:paraId="3D2394C2" w14:textId="77777777" w:rsidTr="0033402B">
        <w:trPr>
          <w:tblHeader/>
        </w:trPr>
        <w:tc>
          <w:tcPr>
            <w:tcW w:w="6658" w:type="dxa"/>
          </w:tcPr>
          <w:p w14:paraId="0BCC1246" w14:textId="43D87086" w:rsidR="000B55C4" w:rsidRPr="0033402B" w:rsidRDefault="000B55C4" w:rsidP="000B55C4">
            <w:pPr>
              <w:ind w:right="-1"/>
              <w:rPr>
                <w:rStyle w:val="Normalbold"/>
              </w:rPr>
            </w:pPr>
            <w:r w:rsidRPr="0033402B">
              <w:rPr>
                <w:rStyle w:val="Normalbold"/>
              </w:rPr>
              <w:t>To what extent do you feel that the following are barriers to using accessibility/walkability of facilities as a more important criteria within the site allocation process? (</w:t>
            </w:r>
            <w:proofErr w:type="gramStart"/>
            <w:r w:rsidRPr="0033402B">
              <w:rPr>
                <w:rStyle w:val="Normalbold"/>
              </w:rPr>
              <w:t>tick</w:t>
            </w:r>
            <w:proofErr w:type="gramEnd"/>
            <w:r w:rsidRPr="0033402B">
              <w:rPr>
                <w:rStyle w:val="Normalbold"/>
              </w:rPr>
              <w:t xml:space="preserve"> all that apply)</w:t>
            </w:r>
          </w:p>
        </w:tc>
        <w:tc>
          <w:tcPr>
            <w:tcW w:w="1554" w:type="dxa"/>
          </w:tcPr>
          <w:p w14:paraId="2EE5B37D" w14:textId="6161A808" w:rsidR="000B55C4" w:rsidRPr="0033402B" w:rsidRDefault="000B55C4" w:rsidP="000B55C4">
            <w:pPr>
              <w:ind w:right="-1"/>
              <w:rPr>
                <w:rStyle w:val="Normalbold"/>
              </w:rPr>
            </w:pPr>
            <w:r w:rsidRPr="0033402B">
              <w:rPr>
                <w:rStyle w:val="Normalbold"/>
              </w:rPr>
              <w:t>Total ‘important’ &amp; ‘very important’</w:t>
            </w:r>
          </w:p>
        </w:tc>
      </w:tr>
      <w:tr w:rsidR="000B55C4" w14:paraId="58E1F493" w14:textId="77777777" w:rsidTr="0044620E">
        <w:tc>
          <w:tcPr>
            <w:tcW w:w="6658" w:type="dxa"/>
          </w:tcPr>
          <w:p w14:paraId="190EA1DB" w14:textId="7A783590" w:rsidR="000B55C4" w:rsidRDefault="000B55C4" w:rsidP="000B55C4">
            <w:pPr>
              <w:ind w:right="-1"/>
            </w:pPr>
            <w:r w:rsidRPr="00057ECA">
              <w:t>Lack of robust planning guidance or regulation</w:t>
            </w:r>
          </w:p>
        </w:tc>
        <w:tc>
          <w:tcPr>
            <w:tcW w:w="1554" w:type="dxa"/>
          </w:tcPr>
          <w:p w14:paraId="61641E0E" w14:textId="70ABBC69" w:rsidR="000B55C4" w:rsidRDefault="000B55C4" w:rsidP="000B55C4">
            <w:pPr>
              <w:ind w:right="-1"/>
            </w:pPr>
            <w:r w:rsidRPr="00057ECA">
              <w:t>64%</w:t>
            </w:r>
          </w:p>
        </w:tc>
      </w:tr>
      <w:tr w:rsidR="000B55C4" w14:paraId="2C663B34" w14:textId="77777777" w:rsidTr="0044620E">
        <w:tc>
          <w:tcPr>
            <w:tcW w:w="6658" w:type="dxa"/>
          </w:tcPr>
          <w:p w14:paraId="6F707E0C" w14:textId="076805F4" w:rsidR="000B55C4" w:rsidRDefault="000B55C4" w:rsidP="000B55C4">
            <w:pPr>
              <w:ind w:right="-1"/>
            </w:pPr>
            <w:r w:rsidRPr="00057ECA">
              <w:t>Lack of deliverable sites in areas within walking distance of services</w:t>
            </w:r>
          </w:p>
        </w:tc>
        <w:tc>
          <w:tcPr>
            <w:tcW w:w="1554" w:type="dxa"/>
          </w:tcPr>
          <w:p w14:paraId="49A0799C" w14:textId="3CB91438" w:rsidR="000B55C4" w:rsidRDefault="000B55C4" w:rsidP="000B55C4">
            <w:pPr>
              <w:ind w:right="-1"/>
            </w:pPr>
            <w:r w:rsidRPr="00057ECA">
              <w:t>61%</w:t>
            </w:r>
          </w:p>
        </w:tc>
      </w:tr>
      <w:tr w:rsidR="000B55C4" w14:paraId="58C460CA" w14:textId="77777777" w:rsidTr="0044620E">
        <w:tc>
          <w:tcPr>
            <w:tcW w:w="6658" w:type="dxa"/>
          </w:tcPr>
          <w:p w14:paraId="68F9F216" w14:textId="23497320" w:rsidR="000B55C4" w:rsidRDefault="000B55C4" w:rsidP="000B55C4">
            <w:pPr>
              <w:ind w:right="-1"/>
            </w:pPr>
            <w:r w:rsidRPr="00057ECA">
              <w:t>Greater priority of other suitability criteria</w:t>
            </w:r>
          </w:p>
        </w:tc>
        <w:tc>
          <w:tcPr>
            <w:tcW w:w="1554" w:type="dxa"/>
          </w:tcPr>
          <w:p w14:paraId="57C918AC" w14:textId="53D250BD" w:rsidR="000B55C4" w:rsidRDefault="000B55C4" w:rsidP="000B55C4">
            <w:pPr>
              <w:ind w:right="-1"/>
            </w:pPr>
            <w:r w:rsidRPr="00057ECA">
              <w:t>60%</w:t>
            </w:r>
          </w:p>
        </w:tc>
      </w:tr>
      <w:tr w:rsidR="000B55C4" w14:paraId="1C1C3423" w14:textId="77777777" w:rsidTr="0044620E">
        <w:tc>
          <w:tcPr>
            <w:tcW w:w="6658" w:type="dxa"/>
          </w:tcPr>
          <w:p w14:paraId="00C20B37" w14:textId="467052C1" w:rsidR="000B55C4" w:rsidRDefault="000B55C4" w:rsidP="000B55C4">
            <w:pPr>
              <w:ind w:right="-1"/>
            </w:pPr>
            <w:r w:rsidRPr="00057ECA">
              <w:t>Lack of datasets/GIS resource to determine accessibility/walkability</w:t>
            </w:r>
          </w:p>
        </w:tc>
        <w:tc>
          <w:tcPr>
            <w:tcW w:w="1554" w:type="dxa"/>
          </w:tcPr>
          <w:p w14:paraId="2F34EAB0" w14:textId="5E2385C3" w:rsidR="000B55C4" w:rsidRDefault="000B55C4" w:rsidP="000B55C4">
            <w:pPr>
              <w:ind w:right="-1"/>
            </w:pPr>
            <w:r w:rsidRPr="00057ECA">
              <w:t>54%</w:t>
            </w:r>
          </w:p>
        </w:tc>
      </w:tr>
      <w:tr w:rsidR="000B55C4" w14:paraId="59436805" w14:textId="77777777" w:rsidTr="0044620E">
        <w:tc>
          <w:tcPr>
            <w:tcW w:w="6658" w:type="dxa"/>
          </w:tcPr>
          <w:p w14:paraId="0108EBA9" w14:textId="13CF66E7" w:rsidR="000B55C4" w:rsidRDefault="000B55C4" w:rsidP="000B55C4">
            <w:pPr>
              <w:ind w:right="-1"/>
            </w:pPr>
            <w:r w:rsidRPr="00057ECA">
              <w:t>Existing local planning policy doesn’t include robust evidence of the need for walkability</w:t>
            </w:r>
          </w:p>
        </w:tc>
        <w:tc>
          <w:tcPr>
            <w:tcW w:w="1554" w:type="dxa"/>
          </w:tcPr>
          <w:p w14:paraId="4E45726C" w14:textId="16AB7653" w:rsidR="000B55C4" w:rsidRDefault="000B55C4" w:rsidP="000B55C4">
            <w:pPr>
              <w:ind w:right="-1"/>
            </w:pPr>
            <w:r w:rsidRPr="00057ECA">
              <w:t>49%</w:t>
            </w:r>
          </w:p>
        </w:tc>
      </w:tr>
      <w:tr w:rsidR="000B55C4" w14:paraId="7BCE9B47" w14:textId="77777777" w:rsidTr="0044620E">
        <w:tc>
          <w:tcPr>
            <w:tcW w:w="6658" w:type="dxa"/>
          </w:tcPr>
          <w:p w14:paraId="09FA8028" w14:textId="4AE70FCA" w:rsidR="000B55C4" w:rsidRDefault="000B55C4" w:rsidP="000B55C4">
            <w:pPr>
              <w:ind w:right="-1"/>
            </w:pPr>
            <w:r w:rsidRPr="00057ECA">
              <w:t>Quality vs quantity - prioritising the number of houses over the impact of health</w:t>
            </w:r>
          </w:p>
        </w:tc>
        <w:tc>
          <w:tcPr>
            <w:tcW w:w="1554" w:type="dxa"/>
          </w:tcPr>
          <w:p w14:paraId="6A132711" w14:textId="1D5596B8" w:rsidR="000B55C4" w:rsidRDefault="000B55C4" w:rsidP="000B55C4">
            <w:pPr>
              <w:ind w:right="-1"/>
            </w:pPr>
            <w:r w:rsidRPr="00057ECA">
              <w:t>48%</w:t>
            </w:r>
          </w:p>
        </w:tc>
      </w:tr>
      <w:tr w:rsidR="000B55C4" w14:paraId="1CA6FC55" w14:textId="77777777" w:rsidTr="0044620E">
        <w:tc>
          <w:tcPr>
            <w:tcW w:w="6658" w:type="dxa"/>
          </w:tcPr>
          <w:p w14:paraId="4027E668" w14:textId="7783DE9E" w:rsidR="000B55C4" w:rsidRDefault="000B55C4" w:rsidP="000B55C4">
            <w:pPr>
              <w:ind w:right="-1"/>
            </w:pPr>
            <w:r w:rsidRPr="00057ECA">
              <w:t>Political priorities and buy-in from local politicians</w:t>
            </w:r>
          </w:p>
        </w:tc>
        <w:tc>
          <w:tcPr>
            <w:tcW w:w="1554" w:type="dxa"/>
          </w:tcPr>
          <w:p w14:paraId="55BF081C" w14:textId="19004212" w:rsidR="000B55C4" w:rsidRDefault="000B55C4" w:rsidP="000B55C4">
            <w:pPr>
              <w:ind w:right="-1"/>
            </w:pPr>
            <w:r w:rsidRPr="00057ECA">
              <w:t>43%</w:t>
            </w:r>
          </w:p>
        </w:tc>
      </w:tr>
      <w:tr w:rsidR="000B55C4" w14:paraId="007F1267" w14:textId="77777777" w:rsidTr="0044620E">
        <w:tc>
          <w:tcPr>
            <w:tcW w:w="6658" w:type="dxa"/>
          </w:tcPr>
          <w:p w14:paraId="04A21E2B" w14:textId="39F36AF4" w:rsidR="000B55C4" w:rsidRDefault="000B55C4" w:rsidP="000B55C4">
            <w:pPr>
              <w:ind w:right="-1"/>
            </w:pPr>
            <w:r w:rsidRPr="00057ECA">
              <w:t>Lack of capacity within the planning team</w:t>
            </w:r>
          </w:p>
        </w:tc>
        <w:tc>
          <w:tcPr>
            <w:tcW w:w="1554" w:type="dxa"/>
          </w:tcPr>
          <w:p w14:paraId="5A6C1C1B" w14:textId="4A5AF83E" w:rsidR="000B55C4" w:rsidRDefault="000B55C4" w:rsidP="000B55C4">
            <w:pPr>
              <w:ind w:right="-1"/>
            </w:pPr>
            <w:r w:rsidRPr="00057ECA">
              <w:t>42%</w:t>
            </w:r>
          </w:p>
        </w:tc>
      </w:tr>
      <w:tr w:rsidR="000B55C4" w14:paraId="133F7160" w14:textId="77777777" w:rsidTr="0044620E">
        <w:tc>
          <w:tcPr>
            <w:tcW w:w="6658" w:type="dxa"/>
          </w:tcPr>
          <w:p w14:paraId="25F19DAF" w14:textId="1EF2480E" w:rsidR="000B55C4" w:rsidRDefault="000B55C4" w:rsidP="000B55C4">
            <w:pPr>
              <w:ind w:right="-1"/>
            </w:pPr>
            <w:r w:rsidRPr="00057ECA">
              <w:t>Lack of coordination with the team responsible for the Local Transport Plan</w:t>
            </w:r>
          </w:p>
        </w:tc>
        <w:tc>
          <w:tcPr>
            <w:tcW w:w="1554" w:type="dxa"/>
          </w:tcPr>
          <w:p w14:paraId="413B191E" w14:textId="4FC2F948" w:rsidR="000B55C4" w:rsidRDefault="000B55C4" w:rsidP="000B55C4">
            <w:pPr>
              <w:ind w:right="-1"/>
            </w:pPr>
            <w:r w:rsidRPr="00057ECA">
              <w:t>36%</w:t>
            </w:r>
          </w:p>
        </w:tc>
      </w:tr>
      <w:tr w:rsidR="000B55C4" w14:paraId="3BBF052E" w14:textId="77777777" w:rsidTr="0044620E">
        <w:tc>
          <w:tcPr>
            <w:tcW w:w="6658" w:type="dxa"/>
          </w:tcPr>
          <w:p w14:paraId="03ED2707" w14:textId="05E221D7" w:rsidR="000B55C4" w:rsidRDefault="000B55C4" w:rsidP="000B55C4">
            <w:pPr>
              <w:ind w:right="-1"/>
            </w:pPr>
            <w:r w:rsidRPr="00057ECA">
              <w:t>Planning inspectors do not support walkability as a key suitability criterion</w:t>
            </w:r>
          </w:p>
        </w:tc>
        <w:tc>
          <w:tcPr>
            <w:tcW w:w="1554" w:type="dxa"/>
          </w:tcPr>
          <w:p w14:paraId="3BFEDF08" w14:textId="4F38F10C" w:rsidR="000B55C4" w:rsidRDefault="000B55C4" w:rsidP="000B55C4">
            <w:pPr>
              <w:ind w:right="-1"/>
            </w:pPr>
            <w:r w:rsidRPr="00057ECA">
              <w:t>33%</w:t>
            </w:r>
          </w:p>
        </w:tc>
      </w:tr>
    </w:tbl>
    <w:p w14:paraId="7A7E8110" w14:textId="77777777" w:rsidR="002F6325" w:rsidRDefault="002F6325" w:rsidP="002F6325">
      <w:pPr>
        <w:ind w:right="-1"/>
      </w:pPr>
    </w:p>
    <w:p w14:paraId="0B0EDA21" w14:textId="1033AF82" w:rsidR="002F6325" w:rsidRDefault="002F6325" w:rsidP="002F6325">
      <w:pPr>
        <w:ind w:right="-1"/>
      </w:pPr>
      <w:r>
        <w:t>Amongst the 20% who rarely reject sites that are considered available, the pressure of housing delivery was cited as the second most important factor in not discounting sites based on proximity. Interviews also suggested that the pressure of housing delivery limits the ability for proactive spatial planning.</w:t>
      </w:r>
    </w:p>
    <w:p w14:paraId="5DFC3B3B" w14:textId="29E0BE7B" w:rsidR="002F6325" w:rsidRDefault="002F6325" w:rsidP="002F6325">
      <w:pPr>
        <w:ind w:right="-1"/>
      </w:pPr>
      <w:r>
        <w:t xml:space="preserve">“… we really don’t have much say in how much land or what our housing targets need to be for the next Local Plan. </w:t>
      </w:r>
      <w:proofErr w:type="gramStart"/>
      <w:r>
        <w:t>So</w:t>
      </w:r>
      <w:proofErr w:type="gramEnd"/>
      <w:r>
        <w:t xml:space="preserve"> we’ve just got to … ‘find the best fit for all these new houses.’” Officer in rural LPA</w:t>
      </w:r>
    </w:p>
    <w:p w14:paraId="3079419E" w14:textId="77777777" w:rsidR="002F6325" w:rsidRDefault="002F6325" w:rsidP="002F6325">
      <w:pPr>
        <w:ind w:right="-1"/>
      </w:pPr>
      <w:r>
        <w:t>“We were a bit careful not to just say, ‘Oh, it’s not accessible to these 10 facilities, that’s it, we’re not going to allocate it in the plan.’ Particularly because we’re aware of…the level development pressure that we had. We felt like it wouldn’t stand up too well in examination, if that was the only reason for refusal.” Officer in suburban LPA</w:t>
      </w:r>
    </w:p>
    <w:p w14:paraId="36D7158D" w14:textId="77777777" w:rsidR="002F6325" w:rsidRDefault="002F6325" w:rsidP="002F6325">
      <w:pPr>
        <w:ind w:right="-1"/>
      </w:pPr>
      <w:r>
        <w:t>In relation to prioritising other suitability criteria, interviewees explained that proximity is not given as much priority as flood risk, for example, due to the latter being an exclusionary criterion supported by a sequential test and methodology set out in the NPPF.</w:t>
      </w:r>
    </w:p>
    <w:p w14:paraId="7462A32D" w14:textId="77777777" w:rsidR="002F6325" w:rsidRDefault="002F6325" w:rsidP="0044620E">
      <w:pPr>
        <w:pStyle w:val="Heading4"/>
      </w:pPr>
      <w:r>
        <w:t>A lack of national standards is a major barrier to using proximity as a more significant reason to discount sites</w:t>
      </w:r>
    </w:p>
    <w:p w14:paraId="071AF734" w14:textId="77777777" w:rsidR="002F6325" w:rsidRDefault="002F6325" w:rsidP="002F6325">
      <w:pPr>
        <w:ind w:right="-1"/>
      </w:pPr>
      <w:r>
        <w:t>‘Lack of robust planning guidance or regulation’ was rated as an important or very important barrier to using walkability of facilities within site allocation by 64% of all survey respondents – the top-rated barrier.</w:t>
      </w:r>
    </w:p>
    <w:p w14:paraId="308A3120" w14:textId="77777777" w:rsidR="002F6325" w:rsidRDefault="002F6325" w:rsidP="002F6325">
      <w:pPr>
        <w:ind w:right="-1"/>
      </w:pPr>
      <w:r>
        <w:t xml:space="preserve">Furthermore, six of seven interviewees mentioned the lack of national standards or guidance as a barrier as they worried decisions would not stand up to scrutiny if the exclusionary criteria were not explicitly mentioned in national guidance. </w:t>
      </w:r>
    </w:p>
    <w:p w14:paraId="3F967DB5" w14:textId="5D8153A2" w:rsidR="002F6325" w:rsidRDefault="002F6325" w:rsidP="002F6325">
      <w:pPr>
        <w:ind w:right="-1"/>
      </w:pPr>
      <w:r>
        <w:t>“Without an obviously clear … steer from … Practice Guidance … you have to try and convince the Inspector that this is the correct methodology” Officer in suburban LPA</w:t>
      </w:r>
    </w:p>
    <w:p w14:paraId="0B615423" w14:textId="77777777" w:rsidR="002F6325" w:rsidRDefault="002F6325" w:rsidP="002F6325">
      <w:pPr>
        <w:ind w:right="-1"/>
      </w:pPr>
      <w:r>
        <w:t xml:space="preserve"> “You could put moveability and distances into the Plan as well. But then people would say, ‘well, it’s nowhere mentioned in national planning guidance’.” Officer in rural LPA</w:t>
      </w:r>
    </w:p>
    <w:p w14:paraId="2FE56BDA" w14:textId="77777777" w:rsidR="002F6325" w:rsidRDefault="002F6325" w:rsidP="002F6325">
      <w:pPr>
        <w:ind w:right="-1"/>
      </w:pPr>
      <w:r>
        <w:t xml:space="preserve">One LPA, for example, uses accessibility scores as part of both its Strategic Housing Land Availability Assessment and the Sustainability Appraisal but won’t use accessibility as the sole reason for discounting a site without the backing of national standards laid out in guidance. </w:t>
      </w:r>
    </w:p>
    <w:p w14:paraId="0F675953" w14:textId="77777777" w:rsidR="002F6325" w:rsidRDefault="002F6325" w:rsidP="002F6325">
      <w:pPr>
        <w:ind w:right="-1"/>
      </w:pPr>
      <w:r>
        <w:t>This suggests that the introduction of national guidance on proximity and walkability would be a vital tool in ensuring that these issues are given proper consideration during site allocation.</w:t>
      </w:r>
    </w:p>
    <w:p w14:paraId="0ADA7170" w14:textId="77777777" w:rsidR="002F6325" w:rsidRDefault="002F6325" w:rsidP="0044620E">
      <w:pPr>
        <w:pStyle w:val="Heading2"/>
      </w:pPr>
      <w:r>
        <w:t xml:space="preserve">Recommendations </w:t>
      </w:r>
    </w:p>
    <w:p w14:paraId="793E9692" w14:textId="77777777" w:rsidR="002F6325" w:rsidRDefault="002F6325" w:rsidP="002F6325">
      <w:pPr>
        <w:ind w:right="-1"/>
      </w:pPr>
      <w:r>
        <w:t xml:space="preserve">The findings of this research clearly show that, despite UK Government recognition of the role of increasing walking journeys (and reducing car journeys) in tackling the climate emergency and supporting levelling up, walkable distances are not yet reflected consistently in local decisions about the location of new housing developments. </w:t>
      </w:r>
    </w:p>
    <w:p w14:paraId="71236AC7" w14:textId="77777777" w:rsidR="002F6325" w:rsidRDefault="002F6325" w:rsidP="002F6325">
      <w:pPr>
        <w:ind w:right="-1"/>
      </w:pPr>
      <w:r>
        <w:t xml:space="preserve">Where proximity to services is reflected in planning decisions for the location of new developments, it is done inconsistently and often without regard for the evidence on the distances that most people are willing to walk or wheel to reach services. </w:t>
      </w:r>
    </w:p>
    <w:p w14:paraId="76C44B5A" w14:textId="77777777" w:rsidR="002F6325" w:rsidRDefault="002F6325" w:rsidP="002F6325">
      <w:pPr>
        <w:ind w:right="-1"/>
      </w:pPr>
      <w:r>
        <w:t xml:space="preserve">This section includes several recommendations for both national and local government. In the absence of consistent national guidance and resources on site allocation and proximity, some recommendations ask local government to “go further” than current national policy requires. Accordingly, we are also asking national government to provide the policy context and support that will make this easier for local government. </w:t>
      </w:r>
    </w:p>
    <w:p w14:paraId="638BADA9" w14:textId="77777777" w:rsidR="002F6325" w:rsidRDefault="002F6325" w:rsidP="0044620E">
      <w:pPr>
        <w:pStyle w:val="Heading3"/>
      </w:pPr>
      <w:r>
        <w:t>For UK Government</w:t>
      </w:r>
    </w:p>
    <w:p w14:paraId="009210E1" w14:textId="77777777" w:rsidR="002F6325" w:rsidRDefault="002F6325" w:rsidP="0044620E">
      <w:pPr>
        <w:pStyle w:val="ListParagraph"/>
        <w:numPr>
          <w:ilvl w:val="0"/>
          <w:numId w:val="22"/>
        </w:numPr>
        <w:ind w:right="-1"/>
      </w:pPr>
      <w:r>
        <w:t>There should be a new strategic policy in the National Planning Policy Framework (NPPF) for the delivery of high quality and inclusive walking and wheeling environments including streets and other routes, with a particular focus on proximity to local services and facilities.</w:t>
      </w:r>
    </w:p>
    <w:p w14:paraId="7E9E2B1A" w14:textId="77777777" w:rsidR="002F6325" w:rsidRDefault="002F6325" w:rsidP="0044620E">
      <w:pPr>
        <w:pStyle w:val="ListParagraph"/>
        <w:numPr>
          <w:ilvl w:val="0"/>
          <w:numId w:val="23"/>
        </w:numPr>
        <w:ind w:left="1077" w:hanging="357"/>
        <w:contextualSpacing w:val="0"/>
      </w:pPr>
      <w:r>
        <w:t xml:space="preserve">The NPPF should set out a new strategic policy for the delivery of </w:t>
      </w:r>
      <w:proofErr w:type="gramStart"/>
      <w:r>
        <w:t>high quality</w:t>
      </w:r>
      <w:proofErr w:type="gramEnd"/>
      <w:r>
        <w:t xml:space="preserve"> walking and wheeling environments including streets and other routes. </w:t>
      </w:r>
    </w:p>
    <w:p w14:paraId="14E87A76" w14:textId="77777777" w:rsidR="002F6325" w:rsidRDefault="002F6325" w:rsidP="0044620E">
      <w:pPr>
        <w:pStyle w:val="ListParagraph"/>
        <w:numPr>
          <w:ilvl w:val="0"/>
          <w:numId w:val="23"/>
        </w:numPr>
        <w:ind w:left="1077" w:hanging="357"/>
        <w:contextualSpacing w:val="0"/>
      </w:pPr>
      <w:r>
        <w:t xml:space="preserve">Walkable proximity to local services and facilities should inform the site allocation process. Great weight should be given to the issue of proximity to services and facilities, which should be fully </w:t>
      </w:r>
      <w:proofErr w:type="gramStart"/>
      <w:r>
        <w:t>taken into account</w:t>
      </w:r>
      <w:proofErr w:type="gramEnd"/>
      <w:r>
        <w:t xml:space="preserve"> in the final decision making.</w:t>
      </w:r>
    </w:p>
    <w:p w14:paraId="35AEC32E" w14:textId="77777777" w:rsidR="002F6325" w:rsidRDefault="002F6325" w:rsidP="0044620E">
      <w:pPr>
        <w:pStyle w:val="ListParagraph"/>
        <w:numPr>
          <w:ilvl w:val="0"/>
          <w:numId w:val="23"/>
        </w:numPr>
        <w:ind w:left="1077" w:hanging="357"/>
        <w:contextualSpacing w:val="0"/>
      </w:pPr>
      <w:r>
        <w:t>Planning Practice Guidance should be developed to clearly define walkable proximity to existing and new services and facilities for new developments, better aligning with the National Design Guidance. Within this Planning Practice Guidance there should be a single and objective measure of accessibility.</w:t>
      </w:r>
    </w:p>
    <w:p w14:paraId="0C828C0A" w14:textId="77777777" w:rsidR="002F6325" w:rsidRDefault="002F6325" w:rsidP="0044620E">
      <w:pPr>
        <w:pStyle w:val="ListParagraph"/>
        <w:numPr>
          <w:ilvl w:val="0"/>
          <w:numId w:val="23"/>
        </w:numPr>
        <w:ind w:left="1077" w:hanging="357"/>
        <w:contextualSpacing w:val="0"/>
      </w:pPr>
      <w:r>
        <w:t xml:space="preserve">Local Plans must identify what provision for high quality walking and wheeling infrastructure will be needed to support new development over the plan period. </w:t>
      </w:r>
    </w:p>
    <w:p w14:paraId="07430453" w14:textId="77777777" w:rsidR="002F6325" w:rsidRDefault="002F6325" w:rsidP="0044620E">
      <w:pPr>
        <w:pStyle w:val="ListParagraph"/>
        <w:numPr>
          <w:ilvl w:val="0"/>
          <w:numId w:val="23"/>
        </w:numPr>
        <w:ind w:left="1077" w:hanging="357"/>
        <w:contextualSpacing w:val="0"/>
      </w:pPr>
      <w:r>
        <w:t xml:space="preserve">Planning policies and decisions must also identify, </w:t>
      </w:r>
      <w:proofErr w:type="gramStart"/>
      <w:r>
        <w:t>safeguard</w:t>
      </w:r>
      <w:proofErr w:type="gramEnd"/>
      <w:r>
        <w:t xml:space="preserve"> and deliver high quality walking and wheeling networks, drawing on Local Cycling and Walking Infrastructure Plans (LCWIPs) or equivalent spatial pedestrian network planning. </w:t>
      </w:r>
    </w:p>
    <w:p w14:paraId="31098978" w14:textId="77777777" w:rsidR="002F6325" w:rsidRDefault="002F6325" w:rsidP="0044620E">
      <w:pPr>
        <w:pStyle w:val="ListParagraph"/>
        <w:numPr>
          <w:ilvl w:val="0"/>
          <w:numId w:val="23"/>
        </w:numPr>
        <w:ind w:left="1077" w:hanging="357"/>
        <w:contextualSpacing w:val="0"/>
      </w:pPr>
      <w:r>
        <w:t xml:space="preserve">All new development must add to and/or connect with these </w:t>
      </w:r>
      <w:proofErr w:type="gramStart"/>
      <w:r>
        <w:t>high quality</w:t>
      </w:r>
      <w:proofErr w:type="gramEnd"/>
      <w:r>
        <w:t xml:space="preserve"> walking and wheeling networks. </w:t>
      </w:r>
    </w:p>
    <w:p w14:paraId="55EB859A" w14:textId="77777777" w:rsidR="002F6325" w:rsidRDefault="002F6325" w:rsidP="0044620E">
      <w:pPr>
        <w:pStyle w:val="ListParagraph"/>
        <w:numPr>
          <w:ilvl w:val="0"/>
          <w:numId w:val="23"/>
        </w:numPr>
        <w:ind w:left="1077" w:hanging="357"/>
        <w:contextualSpacing w:val="0"/>
      </w:pPr>
      <w:r>
        <w:t>Major new development must deliver high quality walking and wheeling environments on streets and other routes.</w:t>
      </w:r>
    </w:p>
    <w:p w14:paraId="477149F3" w14:textId="77777777" w:rsidR="002F6325" w:rsidRDefault="002F6325" w:rsidP="0044620E">
      <w:pPr>
        <w:pStyle w:val="ListParagraph"/>
        <w:numPr>
          <w:ilvl w:val="0"/>
          <w:numId w:val="22"/>
        </w:numPr>
        <w:ind w:right="-1"/>
      </w:pPr>
      <w:r>
        <w:t xml:space="preserve">Create a digital tool which supports LPAs to measure proximity to services and more effectively and consistently incorporates proximity as a determining factor in site allocation </w:t>
      </w:r>
    </w:p>
    <w:p w14:paraId="602EC36C" w14:textId="77777777" w:rsidR="002F6325" w:rsidRDefault="002F6325" w:rsidP="0044620E">
      <w:pPr>
        <w:pStyle w:val="ListParagraph"/>
        <w:numPr>
          <w:ilvl w:val="0"/>
          <w:numId w:val="24"/>
        </w:numPr>
        <w:ind w:left="1077" w:hanging="357"/>
        <w:contextualSpacing w:val="0"/>
      </w:pPr>
      <w:r>
        <w:t xml:space="preserve">The tool should be similar to the National Audit Office’s Accessibility Tool, which examines transport accessibility to key local services in </w:t>
      </w:r>
      <w:proofErr w:type="gramStart"/>
      <w:r>
        <w:t>England, but</w:t>
      </w:r>
      <w:proofErr w:type="gramEnd"/>
      <w:r>
        <w:t xml:space="preserve"> should incorporate Ordnance Survey Points of Interest data and road network information, to provide an overview of Access to Opportunities and Services (ATOS) and public transport accessibility level (PTAL) across England.</w:t>
      </w:r>
    </w:p>
    <w:p w14:paraId="7D0BDF65" w14:textId="77777777" w:rsidR="002F6325" w:rsidRDefault="002F6325" w:rsidP="0044620E">
      <w:pPr>
        <w:pStyle w:val="ListParagraph"/>
        <w:numPr>
          <w:ilvl w:val="0"/>
          <w:numId w:val="24"/>
        </w:numPr>
        <w:ind w:left="1077" w:hanging="357"/>
        <w:contextualSpacing w:val="0"/>
      </w:pPr>
      <w:r>
        <w:t>This tool could provide a consistent resource that is currently beyond what many LPAs have access to.</w:t>
      </w:r>
    </w:p>
    <w:p w14:paraId="4B862BBD" w14:textId="77777777" w:rsidR="002F6325" w:rsidRDefault="002F6325" w:rsidP="0044620E">
      <w:pPr>
        <w:pStyle w:val="Heading3"/>
      </w:pPr>
      <w:r>
        <w:t>For local government</w:t>
      </w:r>
    </w:p>
    <w:p w14:paraId="7548C9D9" w14:textId="77777777" w:rsidR="002F6325" w:rsidRDefault="002F6325" w:rsidP="0044620E">
      <w:pPr>
        <w:pStyle w:val="ListParagraph"/>
        <w:numPr>
          <w:ilvl w:val="0"/>
          <w:numId w:val="25"/>
        </w:numPr>
        <w:ind w:right="-1"/>
      </w:pPr>
      <w:r>
        <w:t>Local planning authorities should agree a spatial vision, using mapping to clearly show stakeholders the locations with best accessibility</w:t>
      </w:r>
    </w:p>
    <w:p w14:paraId="04748205" w14:textId="4871C65B" w:rsidR="002F6325" w:rsidRDefault="002F6325" w:rsidP="0044620E">
      <w:pPr>
        <w:pStyle w:val="ListParagraph"/>
        <w:numPr>
          <w:ilvl w:val="0"/>
          <w:numId w:val="26"/>
        </w:numPr>
        <w:ind w:left="1077" w:hanging="357"/>
        <w:contextualSpacing w:val="0"/>
      </w:pPr>
      <w:r>
        <w:t xml:space="preserve">To have developments in the right locations we need more proactive and integrated spatial planning. As emphasised in ‘Better planning, better transport, better places’, “The process of selecting sites for development should not be driven by developers or </w:t>
      </w:r>
      <w:proofErr w:type="gramStart"/>
      <w:r>
        <w:t>land owners</w:t>
      </w:r>
      <w:proofErr w:type="gramEnd"/>
      <w:r>
        <w:t>; it should be driven by the local authority. However, the process should be informed by developers.”</w:t>
      </w:r>
      <w:r w:rsidR="00F555BC">
        <w:rPr>
          <w:rStyle w:val="EndnoteReference"/>
        </w:rPr>
        <w:endnoteReference w:id="27"/>
      </w:r>
    </w:p>
    <w:p w14:paraId="04ACBAC8" w14:textId="77777777" w:rsidR="002F6325" w:rsidRDefault="002F6325" w:rsidP="0044620E">
      <w:pPr>
        <w:pStyle w:val="ListParagraph"/>
        <w:numPr>
          <w:ilvl w:val="0"/>
          <w:numId w:val="26"/>
        </w:numPr>
        <w:ind w:left="1077" w:hanging="357"/>
        <w:contextualSpacing w:val="0"/>
      </w:pPr>
      <w:r>
        <w:t xml:space="preserve">Currently, there isn’t a comprehensive, consistent approach being taken by LPAs. </w:t>
      </w:r>
    </w:p>
    <w:p w14:paraId="718650A3" w14:textId="7F146358" w:rsidR="002F6325" w:rsidRDefault="002F6325" w:rsidP="0044620E">
      <w:pPr>
        <w:pStyle w:val="ListParagraph"/>
        <w:numPr>
          <w:ilvl w:val="0"/>
          <w:numId w:val="26"/>
        </w:numPr>
        <w:ind w:left="1077" w:hanging="357"/>
        <w:contextualSpacing w:val="0"/>
      </w:pPr>
      <w:r>
        <w:t xml:space="preserve">LPAs should set out a spatial vision that includes accessibility as a core criterion. As part of the development of this vision, accessibility mapping should be used to clearly show the most sustainable locations. This can be through infrastructure mapping such as ATOS or PTAL, or </w:t>
      </w:r>
      <w:proofErr w:type="spellStart"/>
      <w:r>
        <w:t>PedShed</w:t>
      </w:r>
      <w:proofErr w:type="spellEnd"/>
      <w:r>
        <w:t xml:space="preserve"> or catchment mapping around key services.</w:t>
      </w:r>
      <w:r w:rsidR="00F555BC">
        <w:rPr>
          <w:rStyle w:val="EndnoteReference"/>
        </w:rPr>
        <w:endnoteReference w:id="28"/>
      </w:r>
    </w:p>
    <w:p w14:paraId="48D07014" w14:textId="77777777" w:rsidR="002F6325" w:rsidRDefault="002F6325" w:rsidP="0044620E">
      <w:pPr>
        <w:pStyle w:val="ListParagraph"/>
        <w:numPr>
          <w:ilvl w:val="0"/>
          <w:numId w:val="25"/>
        </w:numPr>
        <w:ind w:right="-1"/>
      </w:pPr>
      <w:r>
        <w:t>Local planning authorities should develop policies and/or Supplementary Planning Documents that set accessibility standards based on 800m walking and wheeling distances to most key services, and 400m to bus stops</w:t>
      </w:r>
    </w:p>
    <w:p w14:paraId="7F689AA2" w14:textId="3B544BFD" w:rsidR="002F6325" w:rsidRDefault="002F6325" w:rsidP="0044620E">
      <w:pPr>
        <w:pStyle w:val="ListParagraph"/>
        <w:numPr>
          <w:ilvl w:val="0"/>
          <w:numId w:val="27"/>
        </w:numPr>
        <w:ind w:left="1077" w:hanging="357"/>
        <w:contextualSpacing w:val="0"/>
      </w:pPr>
      <w:r>
        <w:t>The suitability of sites can be assessed against an adopted development plan or emerging plan, according to current Planning Practice Guidance.</w:t>
      </w:r>
      <w:r w:rsidR="00F555BC">
        <w:rPr>
          <w:rStyle w:val="EndnoteReference"/>
        </w:rPr>
        <w:endnoteReference w:id="29"/>
      </w:r>
      <w:r>
        <w:t xml:space="preserve"> However, for that to happen, there must be clear policies around walkable developments. </w:t>
      </w:r>
    </w:p>
    <w:p w14:paraId="6B014437" w14:textId="77777777" w:rsidR="002F6325" w:rsidRDefault="002F6325" w:rsidP="0044620E">
      <w:pPr>
        <w:pStyle w:val="ListParagraph"/>
        <w:numPr>
          <w:ilvl w:val="0"/>
          <w:numId w:val="27"/>
        </w:numPr>
        <w:ind w:left="1077" w:hanging="357"/>
        <w:contextualSpacing w:val="0"/>
      </w:pPr>
      <w:r>
        <w:t xml:space="preserve">The social objective of the current NPPF emphasises the need to provide accessible services and to support healthy communities. Local planning policy can define this further, setting out standards for walking and wheeling distances to key services, as well as distances from specialist housing. If walkability standards are set for development management, they should extend to site allocation as well. </w:t>
      </w:r>
    </w:p>
    <w:p w14:paraId="2AA2EC7D" w14:textId="77777777" w:rsidR="002F6325" w:rsidRDefault="002F6325" w:rsidP="0044620E">
      <w:pPr>
        <w:pStyle w:val="ListParagraph"/>
        <w:numPr>
          <w:ilvl w:val="0"/>
          <w:numId w:val="25"/>
        </w:numPr>
        <w:ind w:right="-1"/>
      </w:pPr>
      <w:r>
        <w:t>Local planning authorities should develop accessibility background analysis to reinforce the importance of walkable distances</w:t>
      </w:r>
    </w:p>
    <w:p w14:paraId="475750A6" w14:textId="77777777" w:rsidR="002F6325" w:rsidRDefault="002F6325" w:rsidP="00AA5104">
      <w:pPr>
        <w:pStyle w:val="ListParagraph"/>
        <w:numPr>
          <w:ilvl w:val="0"/>
          <w:numId w:val="28"/>
        </w:numPr>
        <w:ind w:left="1077" w:hanging="357"/>
        <w:contextualSpacing w:val="0"/>
      </w:pPr>
      <w:r>
        <w:t>A background paper provides the evidence and precedent for the accessibility standards, highlighting precedent in planning policies elsewhere, and allaying fears of elected members. This can support planning policy, methodology for the site allocation, and Supplementary Planning Documents.</w:t>
      </w:r>
    </w:p>
    <w:p w14:paraId="7BBDD6F4" w14:textId="77777777" w:rsidR="002F6325" w:rsidRDefault="002F6325" w:rsidP="00AA5104">
      <w:pPr>
        <w:pStyle w:val="ListParagraph"/>
        <w:numPr>
          <w:ilvl w:val="0"/>
          <w:numId w:val="28"/>
        </w:numPr>
        <w:ind w:left="1077" w:hanging="357"/>
        <w:contextualSpacing w:val="0"/>
      </w:pPr>
      <w:r>
        <w:t xml:space="preserve">In the absence of set standards of distances from the UK Government, background papers would set out a robust evidence base for the planning policy and site allocation decisions made by LPAs. </w:t>
      </w:r>
    </w:p>
    <w:p w14:paraId="3CEC4900" w14:textId="77777777" w:rsidR="002F6325" w:rsidRDefault="002F6325" w:rsidP="00123594">
      <w:pPr>
        <w:pStyle w:val="ListParagraph"/>
        <w:numPr>
          <w:ilvl w:val="0"/>
          <w:numId w:val="25"/>
        </w:numPr>
        <w:ind w:right="-1"/>
      </w:pPr>
      <w:r>
        <w:t xml:space="preserve">Local planning authorities should measure proximity to services for all sites, </w:t>
      </w:r>
      <w:proofErr w:type="gramStart"/>
      <w:r>
        <w:t>whether or not</w:t>
      </w:r>
      <w:proofErr w:type="gramEnd"/>
      <w:r>
        <w:t xml:space="preserve"> they are within a settlement boundary</w:t>
      </w:r>
    </w:p>
    <w:p w14:paraId="4FB9504D" w14:textId="77777777" w:rsidR="002F6325" w:rsidRDefault="002F6325" w:rsidP="00123594">
      <w:pPr>
        <w:pStyle w:val="ListParagraph"/>
        <w:numPr>
          <w:ilvl w:val="0"/>
          <w:numId w:val="30"/>
        </w:numPr>
        <w:ind w:left="1077" w:hanging="357"/>
        <w:contextualSpacing w:val="0"/>
      </w:pPr>
      <w:r>
        <w:t xml:space="preserve">Settlement boundaries are not necessarily based around walkable distances to services. In many places, as settlements have grown out over recent decades, there may be several miles to get from the boundary to a supermarket or the town centre. </w:t>
      </w:r>
    </w:p>
    <w:p w14:paraId="134A88DF" w14:textId="77777777" w:rsidR="002F6325" w:rsidRDefault="002F6325" w:rsidP="00123594">
      <w:pPr>
        <w:pStyle w:val="ListParagraph"/>
        <w:numPr>
          <w:ilvl w:val="0"/>
          <w:numId w:val="30"/>
        </w:numPr>
        <w:ind w:left="1077" w:hanging="357"/>
        <w:contextualSpacing w:val="0"/>
      </w:pPr>
      <w:r>
        <w:t xml:space="preserve">By applying walkable distances across all sites, it can help to reinforce a brownfield-first policy by showing sites that score highly on access to services, as well as to highlight gaps in provision of facilities. </w:t>
      </w:r>
    </w:p>
    <w:p w14:paraId="2D717FE5" w14:textId="77777777" w:rsidR="002F6325" w:rsidRDefault="002F6325" w:rsidP="00123594">
      <w:pPr>
        <w:pStyle w:val="ListParagraph"/>
        <w:numPr>
          <w:ilvl w:val="0"/>
          <w:numId w:val="25"/>
        </w:numPr>
        <w:ind w:right="-1"/>
      </w:pPr>
      <w:r>
        <w:t>Local planning authorities should include proximity to services as a criterion within their Sustainability Appraisal to discount unsuitable sites that may have made it through the Strategic Housing Land Availability Assessment process</w:t>
      </w:r>
    </w:p>
    <w:p w14:paraId="76444676" w14:textId="77777777" w:rsidR="002F6325" w:rsidRDefault="002F6325" w:rsidP="00F555BC">
      <w:pPr>
        <w:pStyle w:val="ListParagraph"/>
        <w:numPr>
          <w:ilvl w:val="0"/>
          <w:numId w:val="31"/>
        </w:numPr>
        <w:ind w:left="1077" w:hanging="357"/>
        <w:contextualSpacing w:val="0"/>
      </w:pPr>
      <w:r>
        <w:t>Proximity to different key services can be included in the Strategic Housing Land Availability Assessment as part of the suitability assessment. Suitability includes whether the site is aligned with emerging Local Plan policy. In addition, proximity can also be included as part of several Sustainability Objectives in the appraisal of sites. Interviews for this research highlighted the role of the Sustainability Appraisal in providing a finer sift to discount sites after the Strategic Housing Land Availability Assessment was completed.</w:t>
      </w:r>
    </w:p>
    <w:p w14:paraId="345007A4" w14:textId="77777777" w:rsidR="002F6325" w:rsidRDefault="002F6325" w:rsidP="00F555BC">
      <w:pPr>
        <w:pStyle w:val="ListParagraph"/>
        <w:numPr>
          <w:ilvl w:val="0"/>
          <w:numId w:val="31"/>
        </w:numPr>
        <w:ind w:left="1077" w:hanging="357"/>
        <w:contextualSpacing w:val="0"/>
      </w:pPr>
      <w:r>
        <w:t xml:space="preserve">The scoring used within a Sustainability Appraisal should be considered carefully, starting with 800m as a maximum acceptable distance, and then determining whether a different threshold or a range is more appropriate. There is also a risk of double counting between multiple sustainability objectives. This can be a useful way to add weighting to particularly important </w:t>
      </w:r>
      <w:proofErr w:type="gramStart"/>
      <w:r>
        <w:t>criteria, but</w:t>
      </w:r>
      <w:proofErr w:type="gramEnd"/>
      <w:r>
        <w:t xml:space="preserve"> should be done in a considered way.</w:t>
      </w:r>
    </w:p>
    <w:p w14:paraId="7D41F245" w14:textId="77777777" w:rsidR="002F6325" w:rsidRDefault="002F6325" w:rsidP="00123594">
      <w:pPr>
        <w:pStyle w:val="Heading2"/>
      </w:pPr>
      <w:r>
        <w:t>Examples from practice</w:t>
      </w:r>
    </w:p>
    <w:p w14:paraId="65F83D25" w14:textId="77777777" w:rsidR="002F6325" w:rsidRDefault="002F6325" w:rsidP="00123594">
      <w:pPr>
        <w:pStyle w:val="Heading3"/>
      </w:pPr>
      <w:r>
        <w:t>Birmingham City Council: walkable distances in the Local Plan</w:t>
      </w:r>
    </w:p>
    <w:p w14:paraId="7F4EACD9" w14:textId="764EDB59" w:rsidR="002F6325" w:rsidRDefault="002F6325" w:rsidP="002F6325">
      <w:pPr>
        <w:ind w:right="-1"/>
      </w:pPr>
      <w:r>
        <w:t xml:space="preserve">The </w:t>
      </w:r>
      <w:hyperlink r:id="rId9" w:history="1">
        <w:r w:rsidRPr="00BA315A">
          <w:rPr>
            <w:rStyle w:val="Hyperlink"/>
          </w:rPr>
          <w:t>Birmingham Development Plan (2017)</w:t>
        </w:r>
      </w:hyperlink>
      <w:r>
        <w:t xml:space="preserve"> includes a number of policies that call for access to services, as well as including walkable distances in the Sustainability Appraisal of their site allocations. </w:t>
      </w:r>
    </w:p>
    <w:p w14:paraId="0849FD11" w14:textId="77777777" w:rsidR="002F6325" w:rsidRDefault="002F6325" w:rsidP="002F6325">
      <w:pPr>
        <w:ind w:right="-1"/>
      </w:pPr>
      <w:r>
        <w:t xml:space="preserve">Within the development management policies, Policy TP45 Accessibility Standards for New Development clearly sets out walking accessibility standards for new developments of 10 dwellings or more based on a walking time of </w:t>
      </w:r>
      <w:proofErr w:type="gramStart"/>
      <w:r>
        <w:t>3mph, and</w:t>
      </w:r>
      <w:proofErr w:type="gramEnd"/>
      <w:r>
        <w:t xml:space="preserve"> requires footpaths and roads that can be easily crossed. </w:t>
      </w:r>
    </w:p>
    <w:tbl>
      <w:tblPr>
        <w:tblStyle w:val="TableGrid"/>
        <w:tblW w:w="0" w:type="auto"/>
        <w:tblLook w:val="04A0" w:firstRow="1" w:lastRow="0" w:firstColumn="1" w:lastColumn="0" w:noHBand="0" w:noVBand="1"/>
      </w:tblPr>
      <w:tblGrid>
        <w:gridCol w:w="4106"/>
        <w:gridCol w:w="4106"/>
      </w:tblGrid>
      <w:tr w:rsidR="00123594" w14:paraId="706C091C" w14:textId="77777777" w:rsidTr="0033402B">
        <w:trPr>
          <w:tblHeader/>
        </w:trPr>
        <w:tc>
          <w:tcPr>
            <w:tcW w:w="4106" w:type="dxa"/>
          </w:tcPr>
          <w:p w14:paraId="4CF09E1D" w14:textId="2B5AAE49" w:rsidR="00123594" w:rsidRPr="00BA315A" w:rsidRDefault="00123594" w:rsidP="00123594">
            <w:pPr>
              <w:ind w:right="-1"/>
              <w:rPr>
                <w:rStyle w:val="Normalbold"/>
              </w:rPr>
            </w:pPr>
            <w:r w:rsidRPr="00BA315A">
              <w:rPr>
                <w:rStyle w:val="Normalbold"/>
              </w:rPr>
              <w:t>Destination:</w:t>
            </w:r>
          </w:p>
        </w:tc>
        <w:tc>
          <w:tcPr>
            <w:tcW w:w="4106" w:type="dxa"/>
          </w:tcPr>
          <w:p w14:paraId="45EEACE8" w14:textId="50DD029B" w:rsidR="00123594" w:rsidRPr="00BA315A" w:rsidRDefault="00123594" w:rsidP="00123594">
            <w:pPr>
              <w:ind w:right="-1"/>
              <w:rPr>
                <w:rStyle w:val="Normalbold"/>
              </w:rPr>
            </w:pPr>
            <w:r w:rsidRPr="00BA315A">
              <w:rPr>
                <w:rStyle w:val="Normalbold"/>
              </w:rPr>
              <w:t>Walking distance:</w:t>
            </w:r>
          </w:p>
        </w:tc>
      </w:tr>
      <w:tr w:rsidR="00123594" w14:paraId="0B96B820" w14:textId="77777777" w:rsidTr="00123594">
        <w:tc>
          <w:tcPr>
            <w:tcW w:w="4106" w:type="dxa"/>
          </w:tcPr>
          <w:p w14:paraId="7BA6664A" w14:textId="49B9D737" w:rsidR="00123594" w:rsidRDefault="00123594" w:rsidP="00123594">
            <w:pPr>
              <w:ind w:right="-1"/>
            </w:pPr>
            <w:r w:rsidRPr="00A82E3B">
              <w:t>GP surgery</w:t>
            </w:r>
          </w:p>
        </w:tc>
        <w:tc>
          <w:tcPr>
            <w:tcW w:w="4106" w:type="dxa"/>
          </w:tcPr>
          <w:p w14:paraId="39AF0D1C" w14:textId="798229D3" w:rsidR="00123594" w:rsidRDefault="00123594" w:rsidP="00123594">
            <w:pPr>
              <w:ind w:right="-1"/>
            </w:pPr>
            <w:r w:rsidRPr="00A82E3B">
              <w:t>15 min (1200m) or 10 min (800m) if retirement dwellings</w:t>
            </w:r>
          </w:p>
        </w:tc>
      </w:tr>
      <w:tr w:rsidR="00123594" w14:paraId="283C89C9" w14:textId="77777777" w:rsidTr="00123594">
        <w:tc>
          <w:tcPr>
            <w:tcW w:w="4106" w:type="dxa"/>
          </w:tcPr>
          <w:p w14:paraId="30226C02" w14:textId="118B837C" w:rsidR="00123594" w:rsidRDefault="00123594" w:rsidP="00123594">
            <w:pPr>
              <w:ind w:right="-1"/>
            </w:pPr>
            <w:r w:rsidRPr="00A82E3B">
              <w:t>Local shops with a good range of food items</w:t>
            </w:r>
          </w:p>
        </w:tc>
        <w:tc>
          <w:tcPr>
            <w:tcW w:w="4106" w:type="dxa"/>
          </w:tcPr>
          <w:p w14:paraId="33964E09" w14:textId="303FDB07" w:rsidR="00123594" w:rsidRDefault="00123594" w:rsidP="00123594">
            <w:pPr>
              <w:ind w:right="-1"/>
            </w:pPr>
            <w:r w:rsidRPr="00A82E3B">
              <w:t>15 min (1200m)</w:t>
            </w:r>
          </w:p>
        </w:tc>
      </w:tr>
      <w:tr w:rsidR="00123594" w14:paraId="5A3C9AF8" w14:textId="77777777" w:rsidTr="00123594">
        <w:tc>
          <w:tcPr>
            <w:tcW w:w="4106" w:type="dxa"/>
          </w:tcPr>
          <w:p w14:paraId="357EA7AE" w14:textId="1CC2711D" w:rsidR="00123594" w:rsidRDefault="00123594" w:rsidP="00123594">
            <w:pPr>
              <w:ind w:right="-1"/>
            </w:pPr>
            <w:r w:rsidRPr="00A82E3B">
              <w:t>Public transport frequency &gt; every 30min to shops that provide a range of items, including a good range of food items</w:t>
            </w:r>
          </w:p>
        </w:tc>
        <w:tc>
          <w:tcPr>
            <w:tcW w:w="4106" w:type="dxa"/>
          </w:tcPr>
          <w:p w14:paraId="56F398E0" w14:textId="6A7A29A5" w:rsidR="00123594" w:rsidRDefault="00123594" w:rsidP="00123594">
            <w:pPr>
              <w:ind w:right="-1"/>
            </w:pPr>
            <w:r w:rsidRPr="00A82E3B">
              <w:t>10 min (800m)</w:t>
            </w:r>
          </w:p>
        </w:tc>
      </w:tr>
    </w:tbl>
    <w:p w14:paraId="63FB55B3" w14:textId="3C13A3F9" w:rsidR="00C533C7" w:rsidRDefault="00C533C7" w:rsidP="00C533C7">
      <w:pPr>
        <w:pStyle w:val="Heading5"/>
      </w:pPr>
      <w:r w:rsidRPr="00A82E3B">
        <w:t>Residences that are not retirement dwellings, student accommodation or single-person apartments should be within:</w:t>
      </w:r>
    </w:p>
    <w:tbl>
      <w:tblPr>
        <w:tblStyle w:val="TableGrid"/>
        <w:tblW w:w="0" w:type="auto"/>
        <w:tblLook w:val="04A0" w:firstRow="1" w:lastRow="0" w:firstColumn="1" w:lastColumn="0" w:noHBand="0" w:noVBand="1"/>
      </w:tblPr>
      <w:tblGrid>
        <w:gridCol w:w="4106"/>
        <w:gridCol w:w="4106"/>
      </w:tblGrid>
      <w:tr w:rsidR="00C533C7" w14:paraId="29BB528E" w14:textId="77777777" w:rsidTr="00C533C7">
        <w:trPr>
          <w:tblHeader/>
        </w:trPr>
        <w:tc>
          <w:tcPr>
            <w:tcW w:w="4106" w:type="dxa"/>
          </w:tcPr>
          <w:p w14:paraId="1551F550" w14:textId="4CF340AD" w:rsidR="00C533C7" w:rsidRDefault="00C533C7" w:rsidP="00C533C7">
            <w:pPr>
              <w:ind w:right="-1"/>
            </w:pPr>
            <w:r w:rsidRPr="00BA315A">
              <w:rPr>
                <w:rStyle w:val="Normalbold"/>
              </w:rPr>
              <w:t>Destination:</w:t>
            </w:r>
          </w:p>
        </w:tc>
        <w:tc>
          <w:tcPr>
            <w:tcW w:w="4106" w:type="dxa"/>
          </w:tcPr>
          <w:p w14:paraId="043CC0C1" w14:textId="2B0512AD" w:rsidR="00C533C7" w:rsidRDefault="00C533C7" w:rsidP="00C533C7">
            <w:pPr>
              <w:ind w:right="-1"/>
            </w:pPr>
            <w:r w:rsidRPr="00BA315A">
              <w:rPr>
                <w:rStyle w:val="Normalbold"/>
              </w:rPr>
              <w:t>Walking distance:</w:t>
            </w:r>
          </w:p>
        </w:tc>
      </w:tr>
      <w:tr w:rsidR="00C533C7" w14:paraId="291A8E45" w14:textId="77777777" w:rsidTr="00C533C7">
        <w:tc>
          <w:tcPr>
            <w:tcW w:w="4106" w:type="dxa"/>
          </w:tcPr>
          <w:p w14:paraId="125ACC08" w14:textId="3E170ECD" w:rsidR="00C533C7" w:rsidRDefault="00C533C7" w:rsidP="00C533C7">
            <w:pPr>
              <w:ind w:right="-1"/>
            </w:pPr>
            <w:r w:rsidRPr="00A82E3B">
              <w:t xml:space="preserve">Primary school with sufficient additional capacity </w:t>
            </w:r>
          </w:p>
        </w:tc>
        <w:tc>
          <w:tcPr>
            <w:tcW w:w="4106" w:type="dxa"/>
          </w:tcPr>
          <w:p w14:paraId="40521C75" w14:textId="159FA205" w:rsidR="00C533C7" w:rsidRDefault="00C533C7" w:rsidP="00C533C7">
            <w:pPr>
              <w:ind w:right="-1"/>
            </w:pPr>
            <w:r w:rsidRPr="00A82E3B">
              <w:t>10 min (800m)</w:t>
            </w:r>
          </w:p>
        </w:tc>
      </w:tr>
      <w:tr w:rsidR="00C533C7" w14:paraId="5222731E" w14:textId="77777777" w:rsidTr="00C533C7">
        <w:tc>
          <w:tcPr>
            <w:tcW w:w="4106" w:type="dxa"/>
          </w:tcPr>
          <w:p w14:paraId="7AD0B7C4" w14:textId="28176199" w:rsidR="00C533C7" w:rsidRDefault="00C533C7" w:rsidP="00C533C7">
            <w:pPr>
              <w:ind w:right="-1"/>
            </w:pPr>
            <w:r w:rsidRPr="00A82E3B">
              <w:t>Secondary school catering for both sexes with sufficient additional capacity.</w:t>
            </w:r>
          </w:p>
        </w:tc>
        <w:tc>
          <w:tcPr>
            <w:tcW w:w="4106" w:type="dxa"/>
          </w:tcPr>
          <w:p w14:paraId="3426DE14" w14:textId="240804DF" w:rsidR="00C533C7" w:rsidRDefault="00C533C7" w:rsidP="00C533C7">
            <w:pPr>
              <w:ind w:right="-1"/>
            </w:pPr>
            <w:r w:rsidRPr="00A82E3B">
              <w:t>20 min (1600m)</w:t>
            </w:r>
          </w:p>
        </w:tc>
      </w:tr>
    </w:tbl>
    <w:p w14:paraId="384083BC" w14:textId="77777777" w:rsidR="00C533C7" w:rsidRDefault="00C533C7" w:rsidP="002F6325">
      <w:pPr>
        <w:ind w:right="-1"/>
      </w:pPr>
    </w:p>
    <w:p w14:paraId="1EC67841" w14:textId="77777777" w:rsidR="002F6325" w:rsidRDefault="002F6325" w:rsidP="002F6325">
      <w:pPr>
        <w:ind w:right="-1"/>
      </w:pPr>
      <w:r>
        <w:t xml:space="preserve">By including walkable distances within the Local Development Plan, this provides the policy rationale for additional standards and guidance on walkability. Although in this instance several distances used are higher than the research suggests </w:t>
      </w:r>
      <w:proofErr w:type="gramStart"/>
      <w:r>
        <w:t>a majority of</w:t>
      </w:r>
      <w:proofErr w:type="gramEnd"/>
      <w:r>
        <w:t xml:space="preserve"> people will walk to the various destinations, it is particularly positive to note that shorter distances are used for retirement housing, highlighting that ‘accessibility’ is not a blanket term. </w:t>
      </w:r>
    </w:p>
    <w:p w14:paraId="3F000E8F" w14:textId="77777777" w:rsidR="002F6325" w:rsidRDefault="002F6325" w:rsidP="00123594">
      <w:pPr>
        <w:pStyle w:val="Heading3"/>
      </w:pPr>
      <w:r>
        <w:t xml:space="preserve">Braintree District Council: including walkable distance thresholds in Sustainability Appraisals </w:t>
      </w:r>
    </w:p>
    <w:p w14:paraId="003B5F97" w14:textId="5A7E19F0" w:rsidR="002F6325" w:rsidRDefault="002F6325" w:rsidP="002F6325">
      <w:pPr>
        <w:ind w:right="-1"/>
      </w:pPr>
      <w:r>
        <w:t xml:space="preserve">The </w:t>
      </w:r>
      <w:hyperlink r:id="rId10" w:history="1">
        <w:r w:rsidRPr="00BA315A">
          <w:rPr>
            <w:rStyle w:val="Hyperlink"/>
          </w:rPr>
          <w:t>Sustainability Appraisal and Strategic Environmental Assessment (2013)</w:t>
        </w:r>
      </w:hyperlink>
      <w:r>
        <w:t xml:space="preserve"> provides a good example of the use of walkable distances as criteria within a range of sustainability objectives. The table below sets out the criteria, the distances included, as well as the relevant sustainability objective. </w:t>
      </w:r>
    </w:p>
    <w:tbl>
      <w:tblPr>
        <w:tblStyle w:val="TableGrid"/>
        <w:tblW w:w="0" w:type="auto"/>
        <w:tblLook w:val="04A0" w:firstRow="1" w:lastRow="0" w:firstColumn="1" w:lastColumn="0" w:noHBand="0" w:noVBand="1"/>
      </w:tblPr>
      <w:tblGrid>
        <w:gridCol w:w="2737"/>
        <w:gridCol w:w="2737"/>
        <w:gridCol w:w="2738"/>
      </w:tblGrid>
      <w:tr w:rsidR="00123594" w14:paraId="481735E2" w14:textId="77777777" w:rsidTr="0033402B">
        <w:trPr>
          <w:tblHeader/>
        </w:trPr>
        <w:tc>
          <w:tcPr>
            <w:tcW w:w="2737" w:type="dxa"/>
          </w:tcPr>
          <w:p w14:paraId="0F84C6CA" w14:textId="7F2167B8" w:rsidR="00123594" w:rsidRPr="00BA315A" w:rsidRDefault="00123594" w:rsidP="00123594">
            <w:pPr>
              <w:ind w:right="-1"/>
              <w:rPr>
                <w:rStyle w:val="Normalbold"/>
              </w:rPr>
            </w:pPr>
            <w:r w:rsidRPr="00BA315A">
              <w:rPr>
                <w:rStyle w:val="Normalbold"/>
              </w:rPr>
              <w:t>Sustainability Objective</w:t>
            </w:r>
          </w:p>
        </w:tc>
        <w:tc>
          <w:tcPr>
            <w:tcW w:w="2737" w:type="dxa"/>
          </w:tcPr>
          <w:p w14:paraId="73CAE13C" w14:textId="3F94F4D5" w:rsidR="00123594" w:rsidRPr="00BA315A" w:rsidRDefault="00123594" w:rsidP="00123594">
            <w:pPr>
              <w:ind w:right="-1"/>
              <w:rPr>
                <w:rStyle w:val="Normalbold"/>
              </w:rPr>
            </w:pPr>
            <w:r w:rsidRPr="00BA315A">
              <w:rPr>
                <w:rStyle w:val="Normalbold"/>
              </w:rPr>
              <w:t>Criteria</w:t>
            </w:r>
          </w:p>
        </w:tc>
        <w:tc>
          <w:tcPr>
            <w:tcW w:w="2738" w:type="dxa"/>
          </w:tcPr>
          <w:p w14:paraId="492FC14B" w14:textId="508153F0" w:rsidR="00123594" w:rsidRPr="00BA315A" w:rsidRDefault="00123594" w:rsidP="00123594">
            <w:pPr>
              <w:ind w:right="-1"/>
              <w:rPr>
                <w:rStyle w:val="Normalbold"/>
              </w:rPr>
            </w:pPr>
            <w:r w:rsidRPr="00BA315A">
              <w:rPr>
                <w:rStyle w:val="Normalbold"/>
              </w:rPr>
              <w:t>Distance</w:t>
            </w:r>
          </w:p>
        </w:tc>
      </w:tr>
      <w:tr w:rsidR="00123594" w14:paraId="0E0EDF85" w14:textId="77777777" w:rsidTr="00123594">
        <w:tc>
          <w:tcPr>
            <w:tcW w:w="2737" w:type="dxa"/>
          </w:tcPr>
          <w:p w14:paraId="3D7AFE90" w14:textId="0C7DFFBF" w:rsidR="00123594" w:rsidRDefault="00123594" w:rsidP="00123594">
            <w:pPr>
              <w:ind w:right="-1"/>
            </w:pPr>
            <w:r w:rsidRPr="00F47DE1">
              <w:t xml:space="preserve">Improve the health of the </w:t>
            </w:r>
            <w:proofErr w:type="gramStart"/>
            <w:r w:rsidRPr="00F47DE1">
              <w:t>District’s</w:t>
            </w:r>
            <w:proofErr w:type="gramEnd"/>
            <w:r w:rsidRPr="00F47DE1">
              <w:t xml:space="preserve"> residents and mitigate/reduce potential health inequalities</w:t>
            </w:r>
          </w:p>
        </w:tc>
        <w:tc>
          <w:tcPr>
            <w:tcW w:w="2737" w:type="dxa"/>
          </w:tcPr>
          <w:p w14:paraId="32849D86" w14:textId="58C908E5" w:rsidR="00123594" w:rsidRDefault="00123594" w:rsidP="00123594">
            <w:pPr>
              <w:ind w:right="-1"/>
            </w:pPr>
            <w:r w:rsidRPr="00F47DE1">
              <w:t>Distance to nearest NHS GP surgery or hospital.</w:t>
            </w:r>
          </w:p>
        </w:tc>
        <w:tc>
          <w:tcPr>
            <w:tcW w:w="2738" w:type="dxa"/>
          </w:tcPr>
          <w:p w14:paraId="14C37713" w14:textId="77777777" w:rsidR="00123594" w:rsidRDefault="00123594" w:rsidP="00123594">
            <w:pPr>
              <w:ind w:right="-1"/>
            </w:pPr>
            <w:r w:rsidRPr="00F47DE1">
              <w:t xml:space="preserve">- &lt; 800m </w:t>
            </w:r>
          </w:p>
          <w:p w14:paraId="249BF4E6" w14:textId="29BBC3A2" w:rsidR="00123594" w:rsidRDefault="00123594" w:rsidP="00123594">
            <w:pPr>
              <w:ind w:right="-1"/>
            </w:pPr>
            <w:r w:rsidRPr="00F47DE1">
              <w:t>+ &gt; 800m</w:t>
            </w:r>
          </w:p>
        </w:tc>
      </w:tr>
      <w:tr w:rsidR="00123594" w14:paraId="66F38147" w14:textId="77777777" w:rsidTr="00123594">
        <w:tc>
          <w:tcPr>
            <w:tcW w:w="2737" w:type="dxa"/>
          </w:tcPr>
          <w:p w14:paraId="6BA19B20" w14:textId="667C9F6E" w:rsidR="00123594" w:rsidRDefault="00123594" w:rsidP="00123594">
            <w:pPr>
              <w:ind w:right="-1"/>
            </w:pPr>
            <w:r w:rsidRPr="00F47DE1">
              <w:t xml:space="preserve">Improve the health of the </w:t>
            </w:r>
            <w:proofErr w:type="gramStart"/>
            <w:r w:rsidRPr="00F47DE1">
              <w:t>District’s</w:t>
            </w:r>
            <w:proofErr w:type="gramEnd"/>
            <w:r w:rsidRPr="00F47DE1">
              <w:t xml:space="preserve"> residents and mitigate/reduce potential health inequalities</w:t>
            </w:r>
          </w:p>
        </w:tc>
        <w:tc>
          <w:tcPr>
            <w:tcW w:w="2737" w:type="dxa"/>
          </w:tcPr>
          <w:p w14:paraId="31C9021A" w14:textId="55FD3100" w:rsidR="00123594" w:rsidRDefault="00123594" w:rsidP="00123594">
            <w:pPr>
              <w:ind w:right="-1"/>
            </w:pPr>
            <w:r w:rsidRPr="00F47DE1">
              <w:t xml:space="preserve">Distances to publicly accessible natural greenspace (ANG), including country park, woodland, grassland, </w:t>
            </w:r>
            <w:proofErr w:type="gramStart"/>
            <w:r w:rsidRPr="00F47DE1">
              <w:t>river</w:t>
            </w:r>
            <w:proofErr w:type="gramEnd"/>
            <w:r w:rsidRPr="00F47DE1">
              <w:t xml:space="preserve"> or canal bank, as per Natural England ANG Standards (</w:t>
            </w:r>
            <w:proofErr w:type="spellStart"/>
            <w:r w:rsidRPr="00F47DE1">
              <w:t>ANGSt</w:t>
            </w:r>
            <w:proofErr w:type="spellEnd"/>
            <w:r w:rsidRPr="00F47DE1">
              <w:t>)</w:t>
            </w:r>
          </w:p>
        </w:tc>
        <w:tc>
          <w:tcPr>
            <w:tcW w:w="2738" w:type="dxa"/>
          </w:tcPr>
          <w:p w14:paraId="7EDDCB37" w14:textId="77777777" w:rsidR="00123594" w:rsidRDefault="00123594" w:rsidP="00123594">
            <w:pPr>
              <w:ind w:right="-1"/>
            </w:pPr>
            <w:r w:rsidRPr="00F47DE1">
              <w:t xml:space="preserve">- None or one </w:t>
            </w:r>
            <w:proofErr w:type="spellStart"/>
            <w:r w:rsidRPr="00F47DE1">
              <w:t>ANGst</w:t>
            </w:r>
            <w:proofErr w:type="spellEnd"/>
            <w:r w:rsidRPr="00F47DE1">
              <w:t xml:space="preserve"> criteria met</w:t>
            </w:r>
          </w:p>
          <w:p w14:paraId="2EE3A391" w14:textId="77777777" w:rsidR="00AF4B09" w:rsidRDefault="00AF4B09" w:rsidP="00123594">
            <w:pPr>
              <w:ind w:right="-1"/>
            </w:pPr>
            <w:r w:rsidRPr="00F47DE1">
              <w:t xml:space="preserve">+ Three or more </w:t>
            </w:r>
            <w:proofErr w:type="spellStart"/>
            <w:r w:rsidRPr="00F47DE1">
              <w:t>ANGSt</w:t>
            </w:r>
            <w:proofErr w:type="spellEnd"/>
            <w:r w:rsidRPr="00F47DE1">
              <w:t xml:space="preserve"> criteria met</w:t>
            </w:r>
          </w:p>
          <w:p w14:paraId="778B3F90" w14:textId="77777777" w:rsidR="00AF4B09" w:rsidRDefault="00AF4B09" w:rsidP="00123594">
            <w:pPr>
              <w:ind w:right="-1"/>
            </w:pPr>
            <w:r w:rsidRPr="00F47DE1">
              <w:t>&lt;= 300m from ANG 2+ ha</w:t>
            </w:r>
          </w:p>
          <w:p w14:paraId="0F4F4DEF" w14:textId="77777777" w:rsidR="00AF4B09" w:rsidRDefault="00AF4B09" w:rsidP="00123594">
            <w:pPr>
              <w:ind w:right="-1"/>
            </w:pPr>
            <w:r w:rsidRPr="00F47DE1">
              <w:t>&lt;= 2km from ANG 20+ ha</w:t>
            </w:r>
          </w:p>
          <w:p w14:paraId="14EBB13C" w14:textId="77777777" w:rsidR="00AF4B09" w:rsidRDefault="00AF4B09" w:rsidP="00123594">
            <w:pPr>
              <w:ind w:right="-1"/>
            </w:pPr>
            <w:r w:rsidRPr="00F47DE1">
              <w:t>&lt;= 5km from ANG 100+ ha</w:t>
            </w:r>
          </w:p>
          <w:p w14:paraId="07627372" w14:textId="30FAFB94" w:rsidR="00AF4B09" w:rsidRDefault="00AF4B09" w:rsidP="00123594">
            <w:pPr>
              <w:ind w:right="-1"/>
            </w:pPr>
            <w:r w:rsidRPr="00F47DE1">
              <w:t>&lt;= 10km from ANG 500+ ha</w:t>
            </w:r>
          </w:p>
        </w:tc>
      </w:tr>
      <w:tr w:rsidR="00AF4B09" w14:paraId="6E0D76E2" w14:textId="77777777" w:rsidTr="00123594">
        <w:tc>
          <w:tcPr>
            <w:tcW w:w="2737" w:type="dxa"/>
          </w:tcPr>
          <w:p w14:paraId="26B368B8" w14:textId="5BD3A1AF" w:rsidR="00AF4B09" w:rsidRDefault="00AF4B09" w:rsidP="00AF4B09">
            <w:pPr>
              <w:ind w:right="-1"/>
            </w:pPr>
            <w:r w:rsidRPr="00F47DE1">
              <w:t xml:space="preserve">Promote the vitality and viability of all service centres throughout the </w:t>
            </w:r>
            <w:proofErr w:type="gramStart"/>
            <w:r w:rsidRPr="00F47DE1">
              <w:t>District</w:t>
            </w:r>
            <w:proofErr w:type="gramEnd"/>
          </w:p>
        </w:tc>
        <w:tc>
          <w:tcPr>
            <w:tcW w:w="2737" w:type="dxa"/>
          </w:tcPr>
          <w:p w14:paraId="4BC53236" w14:textId="60EEA0E5" w:rsidR="00AF4B09" w:rsidRDefault="00AF4B09" w:rsidP="00AF4B09">
            <w:pPr>
              <w:ind w:right="-1"/>
            </w:pPr>
            <w:r w:rsidRPr="00F47DE1">
              <w:t>Distance to primary shopping area or Local Centre boundary</w:t>
            </w:r>
          </w:p>
        </w:tc>
        <w:tc>
          <w:tcPr>
            <w:tcW w:w="2738" w:type="dxa"/>
          </w:tcPr>
          <w:p w14:paraId="67241383" w14:textId="3D9F67BA" w:rsidR="00AF4B09" w:rsidRDefault="00AF4B09" w:rsidP="00AF4B09">
            <w:pPr>
              <w:ind w:right="-1"/>
            </w:pPr>
            <w:r w:rsidRPr="00F47DE1">
              <w:t>- &gt; 800m for sites within or adjacent to Main Towns, &gt; 8km for allocations elsewhere</w:t>
            </w:r>
          </w:p>
        </w:tc>
      </w:tr>
      <w:tr w:rsidR="00AF4B09" w14:paraId="30680221" w14:textId="77777777" w:rsidTr="00123594">
        <w:tc>
          <w:tcPr>
            <w:tcW w:w="2737" w:type="dxa"/>
          </w:tcPr>
          <w:p w14:paraId="1596A454" w14:textId="642EC58A" w:rsidR="00AF4B09" w:rsidRDefault="00AF4B09" w:rsidP="00AF4B09">
            <w:pPr>
              <w:ind w:right="-1"/>
            </w:pPr>
            <w:r w:rsidRPr="00AF4B09">
              <w:t xml:space="preserve">Achieve sustainable levels of prosperity and economic growth </w:t>
            </w:r>
          </w:p>
        </w:tc>
        <w:tc>
          <w:tcPr>
            <w:tcW w:w="2737" w:type="dxa"/>
          </w:tcPr>
          <w:p w14:paraId="4F2AF777" w14:textId="1CFB29F7" w:rsidR="00AF4B09" w:rsidRDefault="00AF4B09" w:rsidP="00AF4B09">
            <w:pPr>
              <w:ind w:right="-1"/>
            </w:pPr>
            <w:r w:rsidRPr="00AF4B09">
              <w:t xml:space="preserve">Distance from existing employment area </w:t>
            </w:r>
          </w:p>
        </w:tc>
        <w:tc>
          <w:tcPr>
            <w:tcW w:w="2738" w:type="dxa"/>
          </w:tcPr>
          <w:p w14:paraId="3E647EFA" w14:textId="260249AF" w:rsidR="00AF4B09" w:rsidRDefault="00AF4B09" w:rsidP="00AF4B09">
            <w:pPr>
              <w:ind w:right="-1"/>
            </w:pPr>
            <w:r w:rsidRPr="00AF4B09">
              <w:t xml:space="preserve">- &gt; 800m + &lt;= 800m </w:t>
            </w:r>
          </w:p>
        </w:tc>
      </w:tr>
      <w:tr w:rsidR="00AF4B09" w14:paraId="6FE64A90" w14:textId="77777777" w:rsidTr="00123594">
        <w:tc>
          <w:tcPr>
            <w:tcW w:w="2737" w:type="dxa"/>
          </w:tcPr>
          <w:p w14:paraId="21268681" w14:textId="3E5BEB08" w:rsidR="00AF4B09" w:rsidRDefault="00AF4B09" w:rsidP="00AF4B09">
            <w:pPr>
              <w:ind w:right="-1"/>
            </w:pPr>
            <w:r w:rsidRPr="00AF4B09">
              <w:t xml:space="preserve">Promote more sustainable transport choices and uptake </w:t>
            </w:r>
          </w:p>
        </w:tc>
        <w:tc>
          <w:tcPr>
            <w:tcW w:w="2737" w:type="dxa"/>
          </w:tcPr>
          <w:p w14:paraId="5E02C686" w14:textId="2DD5C321" w:rsidR="00AF4B09" w:rsidRDefault="00AF4B09" w:rsidP="00AF4B09">
            <w:pPr>
              <w:ind w:right="-1"/>
            </w:pPr>
            <w:r w:rsidRPr="00AF4B09">
              <w:t xml:space="preserve">Distance to public transport </w:t>
            </w:r>
          </w:p>
        </w:tc>
        <w:tc>
          <w:tcPr>
            <w:tcW w:w="2738" w:type="dxa"/>
          </w:tcPr>
          <w:p w14:paraId="2B86DD58" w14:textId="5B3CE29B" w:rsidR="00AF4B09" w:rsidRDefault="00AF4B09" w:rsidP="00AF4B09">
            <w:pPr>
              <w:ind w:right="-1"/>
            </w:pPr>
            <w:r w:rsidRPr="00AF4B09">
              <w:t>- &gt; 400m bus AND &gt; 800m train + &lt;= 400m bus or &lt;= 800m train ++ Provision of a new bus stop or public transport hub</w:t>
            </w:r>
          </w:p>
        </w:tc>
      </w:tr>
      <w:tr w:rsidR="00AF4B09" w14:paraId="76F587F9" w14:textId="77777777" w:rsidTr="00123594">
        <w:tc>
          <w:tcPr>
            <w:tcW w:w="2737" w:type="dxa"/>
          </w:tcPr>
          <w:p w14:paraId="70C76F18" w14:textId="02C4DF29" w:rsidR="00AF4B09" w:rsidRDefault="00AF4B09" w:rsidP="00AF4B09">
            <w:pPr>
              <w:ind w:right="-1"/>
            </w:pPr>
            <w:r w:rsidRPr="00AF4B09">
              <w:t xml:space="preserve">Promote accessibility and ensure the necessary transport infrastructure to support new development </w:t>
            </w:r>
          </w:p>
        </w:tc>
        <w:tc>
          <w:tcPr>
            <w:tcW w:w="2737" w:type="dxa"/>
          </w:tcPr>
          <w:p w14:paraId="2DFDE46E" w14:textId="55B1D826" w:rsidR="00AF4B09" w:rsidRDefault="00AF4B09" w:rsidP="00AF4B09">
            <w:pPr>
              <w:ind w:right="-1"/>
            </w:pPr>
            <w:r w:rsidRPr="00AF4B09">
              <w:t xml:space="preserve">Allocation to settlement with a good level of services. </w:t>
            </w:r>
          </w:p>
        </w:tc>
        <w:tc>
          <w:tcPr>
            <w:tcW w:w="2738" w:type="dxa"/>
          </w:tcPr>
          <w:p w14:paraId="00311B6B" w14:textId="22BE02C0" w:rsidR="00AF4B09" w:rsidRDefault="00AF4B09" w:rsidP="00AF4B09">
            <w:pPr>
              <w:ind w:right="-1"/>
            </w:pPr>
            <w:r w:rsidRPr="00AF4B09">
              <w:t xml:space="preserve">+ village with services ++ Main Towns </w:t>
            </w:r>
          </w:p>
        </w:tc>
      </w:tr>
      <w:tr w:rsidR="00AF4B09" w14:paraId="724BDAA6" w14:textId="77777777" w:rsidTr="00123594">
        <w:tc>
          <w:tcPr>
            <w:tcW w:w="2737" w:type="dxa"/>
          </w:tcPr>
          <w:p w14:paraId="25191941" w14:textId="77777777" w:rsidR="00AF4B09" w:rsidRPr="00AF4B09" w:rsidRDefault="00AF4B09" w:rsidP="00AF4B09">
            <w:pPr>
              <w:ind w:right="-1"/>
            </w:pPr>
            <w:r w:rsidRPr="00AF4B09">
              <w:t xml:space="preserve">Promote accessibility and ensure the necessary transport infrastructure to support new development </w:t>
            </w:r>
          </w:p>
          <w:p w14:paraId="446E4CD3" w14:textId="531246F7" w:rsidR="00AF4B09" w:rsidRDefault="00AF4B09" w:rsidP="00AF4B09">
            <w:pPr>
              <w:ind w:right="-1"/>
            </w:pPr>
          </w:p>
        </w:tc>
        <w:tc>
          <w:tcPr>
            <w:tcW w:w="2737" w:type="dxa"/>
          </w:tcPr>
          <w:p w14:paraId="56861C22" w14:textId="7F39632B" w:rsidR="00AF4B09" w:rsidRDefault="00AF4B09" w:rsidP="00AF4B09">
            <w:pPr>
              <w:ind w:right="-1"/>
            </w:pPr>
          </w:p>
        </w:tc>
        <w:tc>
          <w:tcPr>
            <w:tcW w:w="2738" w:type="dxa"/>
          </w:tcPr>
          <w:p w14:paraId="1E066367" w14:textId="215CDBE0" w:rsidR="00601821" w:rsidRDefault="00601821" w:rsidP="00601821">
            <w:pPr>
              <w:ind w:right="-1"/>
            </w:pPr>
            <w:r>
              <w:t>- &gt; 400m bus AND &gt; 800m train</w:t>
            </w:r>
          </w:p>
          <w:p w14:paraId="4B304989" w14:textId="00854306" w:rsidR="00601821" w:rsidRDefault="00601821" w:rsidP="00601821">
            <w:pPr>
              <w:ind w:right="-1"/>
            </w:pPr>
            <w:r>
              <w:t>+ &lt;= 400m bus OR &lt;= 800m train ‘infrequent’</w:t>
            </w:r>
          </w:p>
          <w:p w14:paraId="71F22A40" w14:textId="3A30595C" w:rsidR="00AF4B09" w:rsidRDefault="00601821" w:rsidP="00601821">
            <w:pPr>
              <w:ind w:right="-1"/>
            </w:pPr>
            <w:r>
              <w:t>++ &lt;= 400m bus OR &lt;= 800m train ‘frequent’</w:t>
            </w:r>
          </w:p>
        </w:tc>
      </w:tr>
      <w:tr w:rsidR="00AF4B09" w14:paraId="6B524228" w14:textId="77777777" w:rsidTr="00123594">
        <w:tc>
          <w:tcPr>
            <w:tcW w:w="2737" w:type="dxa"/>
          </w:tcPr>
          <w:p w14:paraId="18DEB28D" w14:textId="64AE54F9" w:rsidR="00AF4B09" w:rsidRDefault="00AF4B09" w:rsidP="00AF4B09">
            <w:pPr>
              <w:ind w:right="-1"/>
            </w:pPr>
            <w:r w:rsidRPr="00AF4B09">
              <w:t xml:space="preserve">Improve the education and skills of the population </w:t>
            </w:r>
          </w:p>
        </w:tc>
        <w:tc>
          <w:tcPr>
            <w:tcW w:w="2737" w:type="dxa"/>
          </w:tcPr>
          <w:p w14:paraId="32748B36" w14:textId="0EFEB8F0" w:rsidR="00AF4B09" w:rsidRDefault="00AF4B09" w:rsidP="00AF4B09">
            <w:pPr>
              <w:ind w:right="-1"/>
            </w:pPr>
            <w:r w:rsidRPr="00AF4B09">
              <w:t xml:space="preserve">Distance to a primary school. </w:t>
            </w:r>
          </w:p>
        </w:tc>
        <w:tc>
          <w:tcPr>
            <w:tcW w:w="2738" w:type="dxa"/>
          </w:tcPr>
          <w:p w14:paraId="3C0D751A" w14:textId="5D0998EA" w:rsidR="00AF4B09" w:rsidRDefault="00AF4B09" w:rsidP="00AF4B09">
            <w:pPr>
              <w:ind w:right="-1"/>
            </w:pPr>
            <w:r w:rsidRPr="00AF4B09">
              <w:t xml:space="preserve">- &gt; 800m + &lt;= 800m, &gt; 400m ++ &lt;400m </w:t>
            </w:r>
          </w:p>
        </w:tc>
      </w:tr>
      <w:tr w:rsidR="00AF4B09" w14:paraId="6FF39B8F" w14:textId="77777777" w:rsidTr="00123594">
        <w:tc>
          <w:tcPr>
            <w:tcW w:w="2737" w:type="dxa"/>
          </w:tcPr>
          <w:p w14:paraId="4DC0DEF5" w14:textId="543C3F05" w:rsidR="00AF4B09" w:rsidRDefault="00AF4B09" w:rsidP="00AF4B09">
            <w:pPr>
              <w:ind w:right="-1"/>
            </w:pPr>
            <w:r w:rsidRPr="00AF4B09">
              <w:t xml:space="preserve">Improve the education and skills of the population </w:t>
            </w:r>
          </w:p>
        </w:tc>
        <w:tc>
          <w:tcPr>
            <w:tcW w:w="2737" w:type="dxa"/>
          </w:tcPr>
          <w:p w14:paraId="7B364287" w14:textId="264A7FE1" w:rsidR="00AF4B09" w:rsidRDefault="00AF4B09" w:rsidP="00AF4B09">
            <w:pPr>
              <w:ind w:right="-1"/>
            </w:pPr>
            <w:r w:rsidRPr="00AF4B09">
              <w:t xml:space="preserve">Distance to a secondary school. </w:t>
            </w:r>
          </w:p>
        </w:tc>
        <w:tc>
          <w:tcPr>
            <w:tcW w:w="2738" w:type="dxa"/>
          </w:tcPr>
          <w:p w14:paraId="6BA339F7" w14:textId="1318A525" w:rsidR="00AF4B09" w:rsidRDefault="00AF4B09" w:rsidP="00AF4B09">
            <w:pPr>
              <w:ind w:right="-1"/>
            </w:pPr>
            <w:r w:rsidRPr="00AF4B09">
              <w:t xml:space="preserve">- &gt;4.8km + &lt;= 4.8km, &gt; 2.4km ++ &lt;= 2.4km </w:t>
            </w:r>
          </w:p>
        </w:tc>
      </w:tr>
    </w:tbl>
    <w:p w14:paraId="7B9B3809" w14:textId="77777777" w:rsidR="002F6325" w:rsidRDefault="002F6325" w:rsidP="002F6325">
      <w:pPr>
        <w:ind w:right="-1"/>
      </w:pPr>
    </w:p>
    <w:p w14:paraId="0CC1A7F6" w14:textId="77777777" w:rsidR="002F6325" w:rsidRDefault="002F6325" w:rsidP="002F6325">
      <w:pPr>
        <w:ind w:right="-1"/>
      </w:pPr>
      <w:r>
        <w:t xml:space="preserve">The use of the Sustainability Appraisal as a ‘finer sift’ is used by many LPAs. Depending on how the Sustainability Appraisal is used, spreading walkable distances to destinations across different objectives could weight proximity more heavily, although the methodology for using the Sustainability Appraisal results </w:t>
      </w:r>
      <w:proofErr w:type="gramStart"/>
      <w:r>
        <w:t>are</w:t>
      </w:r>
      <w:proofErr w:type="gramEnd"/>
      <w:r>
        <w:t xml:space="preserve"> not included in the Braintree example.</w:t>
      </w:r>
    </w:p>
    <w:p w14:paraId="7C55310D" w14:textId="77777777" w:rsidR="002F6325" w:rsidRDefault="002F6325" w:rsidP="00470F8C">
      <w:pPr>
        <w:pStyle w:val="Heading3"/>
      </w:pPr>
      <w:r>
        <w:t xml:space="preserve">Fareham Borough Council: setting out the rationale for walkable distances </w:t>
      </w:r>
    </w:p>
    <w:p w14:paraId="6B47B1C3" w14:textId="7C7B991C" w:rsidR="002F6325" w:rsidRDefault="002F6325" w:rsidP="002F6325">
      <w:pPr>
        <w:ind w:right="-1"/>
      </w:pPr>
      <w:r>
        <w:t xml:space="preserve">Fareham Borough Council developed a </w:t>
      </w:r>
      <w:hyperlink r:id="rId11" w:history="1">
        <w:r w:rsidRPr="00BA315A">
          <w:rPr>
            <w:rStyle w:val="Hyperlink"/>
          </w:rPr>
          <w:t>Background Paper: Accessibility Study (2018)</w:t>
        </w:r>
      </w:hyperlink>
      <w:r>
        <w:t xml:space="preserve"> to set out the accessibility standards used in the Sustainability Appraisal within the site allocation process. The paper also sets out the evidence base used to inform the accessibility standards, including guidance by CIHT, DfT, WYG analysis published by the RTPI, as well as planning precedent from The London Plan and Eastbourne Borough Council. </w:t>
      </w:r>
    </w:p>
    <w:p w14:paraId="387B715D" w14:textId="1997B92B" w:rsidR="002F6325" w:rsidRDefault="002F6325" w:rsidP="00470F8C">
      <w:pPr>
        <w:pStyle w:val="Heading5"/>
      </w:pPr>
      <w:r>
        <w:t>Facilities and Associated Accessibility Standard</w:t>
      </w:r>
      <w:r w:rsidR="00F555BC">
        <w:rPr>
          <w:rStyle w:val="EndnoteReference"/>
        </w:rPr>
        <w:endnoteReference w:id="30"/>
      </w:r>
    </w:p>
    <w:tbl>
      <w:tblPr>
        <w:tblStyle w:val="TableGrid"/>
        <w:tblW w:w="0" w:type="auto"/>
        <w:tblLook w:val="04A0" w:firstRow="1" w:lastRow="0" w:firstColumn="1" w:lastColumn="0" w:noHBand="0" w:noVBand="1"/>
      </w:tblPr>
      <w:tblGrid>
        <w:gridCol w:w="2952"/>
        <w:gridCol w:w="2630"/>
        <w:gridCol w:w="2630"/>
      </w:tblGrid>
      <w:tr w:rsidR="00470F8C" w14:paraId="52B77C7D" w14:textId="77777777" w:rsidTr="0033402B">
        <w:trPr>
          <w:tblHeader/>
        </w:trPr>
        <w:tc>
          <w:tcPr>
            <w:tcW w:w="2737" w:type="dxa"/>
          </w:tcPr>
          <w:p w14:paraId="12E195A2" w14:textId="224A673A" w:rsidR="00470F8C" w:rsidRPr="0033402B" w:rsidRDefault="00470F8C" w:rsidP="00470F8C">
            <w:pPr>
              <w:ind w:right="-1"/>
              <w:rPr>
                <w:rStyle w:val="Normalbold"/>
              </w:rPr>
            </w:pPr>
            <w:r w:rsidRPr="0033402B">
              <w:rPr>
                <w:rStyle w:val="Normalbold"/>
              </w:rPr>
              <w:t>Facilities</w:t>
            </w:r>
          </w:p>
        </w:tc>
        <w:tc>
          <w:tcPr>
            <w:tcW w:w="2737" w:type="dxa"/>
          </w:tcPr>
          <w:p w14:paraId="73362477" w14:textId="1B66DEFC" w:rsidR="00470F8C" w:rsidRPr="0033402B" w:rsidRDefault="00470F8C" w:rsidP="00470F8C">
            <w:pPr>
              <w:ind w:right="-1"/>
              <w:rPr>
                <w:rStyle w:val="Normalbold"/>
              </w:rPr>
            </w:pPr>
            <w:r w:rsidRPr="0033402B">
              <w:rPr>
                <w:rStyle w:val="Normalbold"/>
              </w:rPr>
              <w:t>Accessibility Standard in Metres (m)</w:t>
            </w:r>
          </w:p>
        </w:tc>
        <w:tc>
          <w:tcPr>
            <w:tcW w:w="2738" w:type="dxa"/>
          </w:tcPr>
          <w:p w14:paraId="7F21E768" w14:textId="548524E4" w:rsidR="00470F8C" w:rsidRPr="0033402B" w:rsidRDefault="00470F8C" w:rsidP="00470F8C">
            <w:pPr>
              <w:ind w:right="-1"/>
              <w:rPr>
                <w:rStyle w:val="Normalbold"/>
              </w:rPr>
            </w:pPr>
            <w:r w:rsidRPr="0033402B">
              <w:rPr>
                <w:rStyle w:val="Normalbold"/>
              </w:rPr>
              <w:t>Approximate Walking Time (minutes)</w:t>
            </w:r>
          </w:p>
        </w:tc>
      </w:tr>
      <w:tr w:rsidR="00470F8C" w14:paraId="3023D67F" w14:textId="77777777" w:rsidTr="00470F8C">
        <w:tc>
          <w:tcPr>
            <w:tcW w:w="2737" w:type="dxa"/>
          </w:tcPr>
          <w:p w14:paraId="642F9D0D" w14:textId="12E51346" w:rsidR="00470F8C" w:rsidRDefault="00470F8C" w:rsidP="00470F8C">
            <w:pPr>
              <w:ind w:right="-1"/>
            </w:pPr>
            <w:r w:rsidRPr="002562B2">
              <w:t>GP surgeries</w:t>
            </w:r>
          </w:p>
        </w:tc>
        <w:tc>
          <w:tcPr>
            <w:tcW w:w="2737" w:type="dxa"/>
          </w:tcPr>
          <w:p w14:paraId="11A8ED2B" w14:textId="7921331A" w:rsidR="00470F8C" w:rsidRDefault="00470F8C" w:rsidP="00470F8C">
            <w:pPr>
              <w:ind w:right="-1"/>
            </w:pPr>
            <w:r w:rsidRPr="002562B2">
              <w:t>1,200m</w:t>
            </w:r>
          </w:p>
        </w:tc>
        <w:tc>
          <w:tcPr>
            <w:tcW w:w="2738" w:type="dxa"/>
          </w:tcPr>
          <w:p w14:paraId="189F3E40" w14:textId="09B26203" w:rsidR="00470F8C" w:rsidRDefault="00470F8C" w:rsidP="00470F8C">
            <w:pPr>
              <w:ind w:right="-1"/>
            </w:pPr>
            <w:r w:rsidRPr="002562B2">
              <w:t>15</w:t>
            </w:r>
          </w:p>
        </w:tc>
      </w:tr>
      <w:tr w:rsidR="00470F8C" w14:paraId="392D53F6" w14:textId="77777777" w:rsidTr="00470F8C">
        <w:tc>
          <w:tcPr>
            <w:tcW w:w="2737" w:type="dxa"/>
          </w:tcPr>
          <w:p w14:paraId="69E89748" w14:textId="1B66C06B" w:rsidR="00470F8C" w:rsidRDefault="00470F8C" w:rsidP="00470F8C">
            <w:pPr>
              <w:ind w:right="-1"/>
            </w:pPr>
            <w:r w:rsidRPr="002562B2">
              <w:t>Bus stops</w:t>
            </w:r>
          </w:p>
        </w:tc>
        <w:tc>
          <w:tcPr>
            <w:tcW w:w="2737" w:type="dxa"/>
          </w:tcPr>
          <w:p w14:paraId="1B009A7F" w14:textId="4FF08C9B" w:rsidR="00470F8C" w:rsidRDefault="00470F8C" w:rsidP="00470F8C">
            <w:pPr>
              <w:ind w:right="-1"/>
            </w:pPr>
            <w:r w:rsidRPr="002562B2">
              <w:t>400m</w:t>
            </w:r>
          </w:p>
        </w:tc>
        <w:tc>
          <w:tcPr>
            <w:tcW w:w="2738" w:type="dxa"/>
          </w:tcPr>
          <w:p w14:paraId="0133BEDA" w14:textId="5A4EF7F0" w:rsidR="00470F8C" w:rsidRDefault="00470F8C" w:rsidP="00470F8C">
            <w:pPr>
              <w:ind w:right="-1"/>
            </w:pPr>
            <w:r w:rsidRPr="002562B2">
              <w:t>5</w:t>
            </w:r>
          </w:p>
        </w:tc>
      </w:tr>
      <w:tr w:rsidR="00470F8C" w14:paraId="3F5E611B" w14:textId="77777777" w:rsidTr="00470F8C">
        <w:tc>
          <w:tcPr>
            <w:tcW w:w="2737" w:type="dxa"/>
          </w:tcPr>
          <w:p w14:paraId="1AFAE900" w14:textId="228AA607" w:rsidR="00470F8C" w:rsidRDefault="00470F8C" w:rsidP="00470F8C">
            <w:pPr>
              <w:ind w:right="-1"/>
            </w:pPr>
            <w:r w:rsidRPr="002562B2">
              <w:t>Train station</w:t>
            </w:r>
          </w:p>
        </w:tc>
        <w:tc>
          <w:tcPr>
            <w:tcW w:w="2737" w:type="dxa"/>
          </w:tcPr>
          <w:p w14:paraId="26C961C5" w14:textId="3C102D57" w:rsidR="00470F8C" w:rsidRDefault="00470F8C" w:rsidP="00470F8C">
            <w:pPr>
              <w:ind w:right="-1"/>
            </w:pPr>
            <w:r w:rsidRPr="002562B2">
              <w:t>1,600m</w:t>
            </w:r>
          </w:p>
        </w:tc>
        <w:tc>
          <w:tcPr>
            <w:tcW w:w="2738" w:type="dxa"/>
          </w:tcPr>
          <w:p w14:paraId="16B881F5" w14:textId="53A8316E" w:rsidR="00470F8C" w:rsidRDefault="00470F8C" w:rsidP="00470F8C">
            <w:pPr>
              <w:ind w:right="-1"/>
            </w:pPr>
            <w:r w:rsidRPr="002562B2">
              <w:t>20</w:t>
            </w:r>
          </w:p>
        </w:tc>
      </w:tr>
      <w:tr w:rsidR="00470F8C" w14:paraId="5ACEDF50" w14:textId="77777777" w:rsidTr="00470F8C">
        <w:tc>
          <w:tcPr>
            <w:tcW w:w="2737" w:type="dxa"/>
          </w:tcPr>
          <w:p w14:paraId="22C01F21" w14:textId="767D2618" w:rsidR="00470F8C" w:rsidRDefault="00470F8C" w:rsidP="00470F8C">
            <w:pPr>
              <w:ind w:right="-1"/>
            </w:pPr>
            <w:r w:rsidRPr="002562B2">
              <w:t>Community and leisure</w:t>
            </w:r>
          </w:p>
        </w:tc>
        <w:tc>
          <w:tcPr>
            <w:tcW w:w="2737" w:type="dxa"/>
          </w:tcPr>
          <w:p w14:paraId="3F76F20E" w14:textId="3A2B5E74" w:rsidR="00470F8C" w:rsidRDefault="00470F8C" w:rsidP="00470F8C">
            <w:pPr>
              <w:ind w:right="-1"/>
            </w:pPr>
            <w:r w:rsidRPr="002562B2">
              <w:t>800m</w:t>
            </w:r>
          </w:p>
        </w:tc>
        <w:tc>
          <w:tcPr>
            <w:tcW w:w="2738" w:type="dxa"/>
          </w:tcPr>
          <w:p w14:paraId="5130DE59" w14:textId="2CD36C2C" w:rsidR="00470F8C" w:rsidRDefault="00470F8C" w:rsidP="00470F8C">
            <w:pPr>
              <w:ind w:right="-1"/>
            </w:pPr>
            <w:r w:rsidRPr="002562B2">
              <w:t>10</w:t>
            </w:r>
          </w:p>
        </w:tc>
      </w:tr>
      <w:tr w:rsidR="00470F8C" w14:paraId="1F837FA4" w14:textId="77777777" w:rsidTr="00470F8C">
        <w:tc>
          <w:tcPr>
            <w:tcW w:w="2737" w:type="dxa"/>
          </w:tcPr>
          <w:p w14:paraId="4D59D7E1" w14:textId="45E99A44" w:rsidR="00470F8C" w:rsidRDefault="00470F8C" w:rsidP="00470F8C">
            <w:pPr>
              <w:ind w:right="-1"/>
            </w:pPr>
            <w:r w:rsidRPr="002562B2">
              <w:t>Secondary schools</w:t>
            </w:r>
          </w:p>
        </w:tc>
        <w:tc>
          <w:tcPr>
            <w:tcW w:w="2737" w:type="dxa"/>
          </w:tcPr>
          <w:p w14:paraId="0ABBA816" w14:textId="2DD00B14" w:rsidR="00470F8C" w:rsidRDefault="00470F8C" w:rsidP="00470F8C">
            <w:pPr>
              <w:ind w:right="-1"/>
            </w:pPr>
            <w:r w:rsidRPr="002562B2">
              <w:t xml:space="preserve">1,600m </w:t>
            </w:r>
          </w:p>
        </w:tc>
        <w:tc>
          <w:tcPr>
            <w:tcW w:w="2738" w:type="dxa"/>
          </w:tcPr>
          <w:p w14:paraId="5C2C0332" w14:textId="2145D915" w:rsidR="00470F8C" w:rsidRDefault="00470F8C" w:rsidP="00470F8C">
            <w:pPr>
              <w:ind w:right="-1"/>
            </w:pPr>
            <w:r w:rsidRPr="002562B2">
              <w:t>20</w:t>
            </w:r>
          </w:p>
        </w:tc>
      </w:tr>
      <w:tr w:rsidR="00470F8C" w14:paraId="7466196E" w14:textId="77777777" w:rsidTr="00470F8C">
        <w:tc>
          <w:tcPr>
            <w:tcW w:w="2737" w:type="dxa"/>
          </w:tcPr>
          <w:p w14:paraId="12C46E54" w14:textId="0FA5B3CD" w:rsidR="00470F8C" w:rsidRDefault="00470F8C" w:rsidP="00470F8C">
            <w:pPr>
              <w:ind w:right="-1"/>
            </w:pPr>
            <w:r w:rsidRPr="002562B2">
              <w:t>Primary schools</w:t>
            </w:r>
          </w:p>
        </w:tc>
        <w:tc>
          <w:tcPr>
            <w:tcW w:w="2737" w:type="dxa"/>
          </w:tcPr>
          <w:p w14:paraId="14C94564" w14:textId="62EF89A6" w:rsidR="00470F8C" w:rsidRDefault="00470F8C" w:rsidP="00470F8C">
            <w:pPr>
              <w:ind w:right="-1"/>
            </w:pPr>
            <w:r w:rsidRPr="002562B2">
              <w:t xml:space="preserve">1,200m </w:t>
            </w:r>
          </w:p>
        </w:tc>
        <w:tc>
          <w:tcPr>
            <w:tcW w:w="2738" w:type="dxa"/>
          </w:tcPr>
          <w:p w14:paraId="0877BBA3" w14:textId="1A809EC4" w:rsidR="00470F8C" w:rsidRDefault="00470F8C" w:rsidP="00470F8C">
            <w:pPr>
              <w:ind w:right="-1"/>
            </w:pPr>
            <w:r w:rsidRPr="002562B2">
              <w:t>15</w:t>
            </w:r>
          </w:p>
        </w:tc>
      </w:tr>
      <w:tr w:rsidR="00470F8C" w14:paraId="7C44B32B" w14:textId="77777777" w:rsidTr="00470F8C">
        <w:tc>
          <w:tcPr>
            <w:tcW w:w="2737" w:type="dxa"/>
          </w:tcPr>
          <w:p w14:paraId="0BEA7A2A" w14:textId="53578989" w:rsidR="00470F8C" w:rsidRDefault="00470F8C" w:rsidP="00470F8C">
            <w:pPr>
              <w:ind w:right="-1"/>
            </w:pPr>
            <w:r w:rsidRPr="002562B2">
              <w:t>Newsagents/convenience store</w:t>
            </w:r>
          </w:p>
        </w:tc>
        <w:tc>
          <w:tcPr>
            <w:tcW w:w="2737" w:type="dxa"/>
          </w:tcPr>
          <w:p w14:paraId="3D5D51A2" w14:textId="60443FC8" w:rsidR="00470F8C" w:rsidRDefault="00470F8C" w:rsidP="00470F8C">
            <w:pPr>
              <w:ind w:right="-1"/>
            </w:pPr>
            <w:r w:rsidRPr="002562B2">
              <w:t>800m</w:t>
            </w:r>
          </w:p>
        </w:tc>
        <w:tc>
          <w:tcPr>
            <w:tcW w:w="2738" w:type="dxa"/>
          </w:tcPr>
          <w:p w14:paraId="40118C6B" w14:textId="354FD4E4" w:rsidR="00470F8C" w:rsidRDefault="00470F8C" w:rsidP="00470F8C">
            <w:pPr>
              <w:ind w:right="-1"/>
            </w:pPr>
            <w:r w:rsidRPr="002562B2">
              <w:t>10</w:t>
            </w:r>
          </w:p>
        </w:tc>
      </w:tr>
      <w:tr w:rsidR="00470F8C" w14:paraId="305BA7EB" w14:textId="77777777" w:rsidTr="00470F8C">
        <w:tc>
          <w:tcPr>
            <w:tcW w:w="2737" w:type="dxa"/>
          </w:tcPr>
          <w:p w14:paraId="5302409C" w14:textId="52A7049F" w:rsidR="00470F8C" w:rsidRDefault="00470F8C" w:rsidP="00470F8C">
            <w:pPr>
              <w:ind w:right="-1"/>
            </w:pPr>
            <w:r w:rsidRPr="002562B2">
              <w:t>Town/district centres/parades</w:t>
            </w:r>
          </w:p>
        </w:tc>
        <w:tc>
          <w:tcPr>
            <w:tcW w:w="2737" w:type="dxa"/>
          </w:tcPr>
          <w:p w14:paraId="18757DCF" w14:textId="6C6920C6" w:rsidR="00470F8C" w:rsidRDefault="00470F8C" w:rsidP="00470F8C">
            <w:pPr>
              <w:ind w:right="-1"/>
            </w:pPr>
            <w:r w:rsidRPr="002562B2">
              <w:t>1,600m</w:t>
            </w:r>
          </w:p>
        </w:tc>
        <w:tc>
          <w:tcPr>
            <w:tcW w:w="2738" w:type="dxa"/>
          </w:tcPr>
          <w:p w14:paraId="6E683F92" w14:textId="181B440B" w:rsidR="00470F8C" w:rsidRDefault="00470F8C" w:rsidP="00470F8C">
            <w:pPr>
              <w:ind w:right="-1"/>
            </w:pPr>
            <w:r w:rsidRPr="002562B2">
              <w:t>20</w:t>
            </w:r>
          </w:p>
        </w:tc>
      </w:tr>
      <w:tr w:rsidR="00470F8C" w14:paraId="37C2C60A" w14:textId="77777777" w:rsidTr="00470F8C">
        <w:tc>
          <w:tcPr>
            <w:tcW w:w="2737" w:type="dxa"/>
          </w:tcPr>
          <w:p w14:paraId="4745C128" w14:textId="690E1410" w:rsidR="00470F8C" w:rsidRDefault="00470F8C" w:rsidP="00470F8C">
            <w:pPr>
              <w:ind w:right="-1"/>
            </w:pPr>
            <w:r w:rsidRPr="002562B2">
              <w:t>Designated employment areas</w:t>
            </w:r>
          </w:p>
        </w:tc>
        <w:tc>
          <w:tcPr>
            <w:tcW w:w="2737" w:type="dxa"/>
          </w:tcPr>
          <w:p w14:paraId="5A0FECC1" w14:textId="5C24A13F" w:rsidR="00470F8C" w:rsidRDefault="00470F8C" w:rsidP="00470F8C">
            <w:pPr>
              <w:ind w:right="-1"/>
            </w:pPr>
            <w:r w:rsidRPr="002562B2">
              <w:t>1,600m</w:t>
            </w:r>
          </w:p>
        </w:tc>
        <w:tc>
          <w:tcPr>
            <w:tcW w:w="2738" w:type="dxa"/>
          </w:tcPr>
          <w:p w14:paraId="2FFA7E0F" w14:textId="044ADC43" w:rsidR="00470F8C" w:rsidRDefault="00470F8C" w:rsidP="00470F8C">
            <w:pPr>
              <w:ind w:right="-1"/>
            </w:pPr>
            <w:r w:rsidRPr="002562B2">
              <w:t>20</w:t>
            </w:r>
          </w:p>
        </w:tc>
      </w:tr>
      <w:tr w:rsidR="00470F8C" w14:paraId="52C7DCC2" w14:textId="77777777" w:rsidTr="00470F8C">
        <w:tc>
          <w:tcPr>
            <w:tcW w:w="2737" w:type="dxa"/>
          </w:tcPr>
          <w:p w14:paraId="46343723" w14:textId="46F098CF" w:rsidR="00470F8C" w:rsidRDefault="00470F8C" w:rsidP="00470F8C">
            <w:pPr>
              <w:ind w:right="-1"/>
            </w:pPr>
            <w:r w:rsidRPr="002562B2">
              <w:t>Accessible green spaces (unrestricted and not including greenways or incidental spaces) or play space</w:t>
            </w:r>
          </w:p>
        </w:tc>
        <w:tc>
          <w:tcPr>
            <w:tcW w:w="2737" w:type="dxa"/>
          </w:tcPr>
          <w:p w14:paraId="5C341AD2" w14:textId="172305F5" w:rsidR="00470F8C" w:rsidRDefault="00470F8C" w:rsidP="00470F8C">
            <w:pPr>
              <w:ind w:right="-1"/>
            </w:pPr>
            <w:r w:rsidRPr="002562B2">
              <w:t>800m</w:t>
            </w:r>
          </w:p>
        </w:tc>
        <w:tc>
          <w:tcPr>
            <w:tcW w:w="2738" w:type="dxa"/>
          </w:tcPr>
          <w:p w14:paraId="55F5D3B6" w14:textId="35A849CB" w:rsidR="00470F8C" w:rsidRDefault="00470F8C" w:rsidP="00470F8C">
            <w:pPr>
              <w:ind w:right="-1"/>
            </w:pPr>
            <w:r w:rsidRPr="002562B2">
              <w:t>10</w:t>
            </w:r>
          </w:p>
        </w:tc>
      </w:tr>
    </w:tbl>
    <w:p w14:paraId="68FDD146" w14:textId="77777777" w:rsidR="00470F8C" w:rsidRDefault="00470F8C" w:rsidP="002F6325">
      <w:pPr>
        <w:ind w:right="-1"/>
      </w:pPr>
    </w:p>
    <w:p w14:paraId="2FF209FE" w14:textId="77777777" w:rsidR="002F6325" w:rsidRDefault="002F6325" w:rsidP="002F6325">
      <w:pPr>
        <w:ind w:right="-1"/>
      </w:pPr>
    </w:p>
    <w:p w14:paraId="7376351B" w14:textId="77777777" w:rsidR="002F6325" w:rsidRDefault="002F6325" w:rsidP="002F6325">
      <w:pPr>
        <w:ind w:right="-1"/>
      </w:pPr>
      <w:r>
        <w:t xml:space="preserve">The use of a background paper sets out the evidence behind both policy and the site allocation methodology. It should be noted that several of the distances used by Fareham Borough are higher than the research suggests </w:t>
      </w:r>
      <w:proofErr w:type="gramStart"/>
      <w:r>
        <w:t>a majority of</w:t>
      </w:r>
      <w:proofErr w:type="gramEnd"/>
      <w:r>
        <w:t xml:space="preserve"> people will walk to the various destinations. This is likely due to a reliance on the 85th percentile used in the WYG report ‘How far will people walk?’ as opposed to the 50th percentile as found in Wakenshaw’s full analysis. </w:t>
      </w:r>
    </w:p>
    <w:p w14:paraId="18E032DD" w14:textId="77777777" w:rsidR="002F6325" w:rsidRDefault="002F6325" w:rsidP="00BA315A">
      <w:pPr>
        <w:pStyle w:val="Heading3"/>
      </w:pPr>
      <w:r>
        <w:t>North Lincolnshire Council: walking distances in suitability assessments</w:t>
      </w:r>
    </w:p>
    <w:p w14:paraId="6C0C0B0B" w14:textId="77777777" w:rsidR="002F6325" w:rsidRDefault="002F6325" w:rsidP="002F6325">
      <w:pPr>
        <w:ind w:right="-1"/>
      </w:pPr>
      <w:r>
        <w:t xml:space="preserve">The North Lincolnshire Housing and Employment Land Allocations Development Plan Document (2016) includes walkable accessibility criteria used to identify sites early in the site allocation process. The council used Accession modelling software to ensure that the road and path network was used for distances. This was used alongside the Sustainability Appraisal to choose between sites or rank sites. </w:t>
      </w:r>
    </w:p>
    <w:p w14:paraId="25109F22" w14:textId="77777777" w:rsidR="002F6325" w:rsidRDefault="002F6325" w:rsidP="002F6325">
      <w:pPr>
        <w:ind w:right="-1"/>
      </w:pPr>
      <w:r>
        <w:t xml:space="preserve">“Each site will be accessed according to the criteria set out below and given either a positive or negative score. Where a site attains 5 or more positives (always including a positive score for proximity to key bus/ rail network) it is concluded that any future development of this site would be easily accessible to services and the wider population by public transport. If the site scores five or more negatives the reverse is </w:t>
      </w:r>
      <w:proofErr w:type="gramStart"/>
      <w:r>
        <w:t>true</w:t>
      </w:r>
      <w:proofErr w:type="gramEnd"/>
      <w:r>
        <w:t xml:space="preserve"> and the future development of the site would be considered unsuitable in accessibility terms.”</w:t>
      </w:r>
    </w:p>
    <w:p w14:paraId="09B591D4" w14:textId="77777777" w:rsidR="002F6325" w:rsidRDefault="002F6325" w:rsidP="002F6325">
      <w:pPr>
        <w:ind w:right="-1"/>
      </w:pPr>
      <w:r>
        <w:t>Including set accessibility criteria within the site allocation process sets out a clear methodology that developers and other stakeholders can use to inform their decisions. Also positive is North Lincolnshire’s use of both a threshold distance, and distance calculated using the road and path network.</w:t>
      </w:r>
    </w:p>
    <w:p w14:paraId="15A82784" w14:textId="77777777" w:rsidR="002F6325" w:rsidRDefault="002F6325" w:rsidP="00BA315A">
      <w:pPr>
        <w:pStyle w:val="Heading3"/>
      </w:pPr>
      <w:r>
        <w:t>Sefton Council: Using a Sustainable Travel SPD</w:t>
      </w:r>
    </w:p>
    <w:p w14:paraId="6F00C0F3" w14:textId="64E7777C" w:rsidR="002F6325" w:rsidRDefault="002F6325" w:rsidP="002F6325">
      <w:pPr>
        <w:ind w:right="-1"/>
      </w:pPr>
      <w:r>
        <w:t xml:space="preserve">The </w:t>
      </w:r>
      <w:hyperlink r:id="rId12" w:history="1">
        <w:r w:rsidRPr="0033402B">
          <w:rPr>
            <w:rStyle w:val="Hyperlink"/>
          </w:rPr>
          <w:t>Sefton Sustainable Travel Supplementary Planning Document (2018)</w:t>
        </w:r>
      </w:hyperlink>
      <w:r>
        <w:t xml:space="preserve"> includes an accessibility checklist and scoring process for developments around walking, cycling and public transport, as well as criteria around site layout that supports walking and cycling.  It should be noted, however, that this only includes walkable distances to bus stops (&lt;200m), train stations (&lt;400m) and district or local centres (&lt;800m).  </w:t>
      </w:r>
    </w:p>
    <w:p w14:paraId="0D920716" w14:textId="0AF72DDB" w:rsidR="00413A33" w:rsidRPr="00802FD6" w:rsidRDefault="002F6325" w:rsidP="002F6325">
      <w:pPr>
        <w:ind w:right="-1"/>
      </w:pPr>
      <w:r>
        <w:t>The use of a Supplementary Planning Document can add important additional detail and standards for achieving policy outcomes. However, although the Sefton SPD aligns well with policy in the Local Plan, it only partially matches the distances and destinations in the site allocation methodology. Ideally this should be standardised so that both planning officers and stakeholders can see a consistent application of distances from sites through to planning approval of developments.</w:t>
      </w:r>
    </w:p>
    <w:sectPr w:rsidR="00413A33" w:rsidRPr="00802FD6" w:rsidSect="002F6325">
      <w:endnotePr>
        <w:numFmt w:val="decimal"/>
      </w:endnotePr>
      <w:pgSz w:w="11906" w:h="16838"/>
      <w:pgMar w:top="1440" w:right="1983" w:bottom="144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4852" w14:textId="77777777" w:rsidR="007E1807" w:rsidRDefault="007E1807" w:rsidP="00C8472C">
      <w:pPr>
        <w:spacing w:after="0"/>
      </w:pPr>
      <w:r>
        <w:separator/>
      </w:r>
    </w:p>
  </w:endnote>
  <w:endnote w:type="continuationSeparator" w:id="0">
    <w:p w14:paraId="49A810F9" w14:textId="77777777" w:rsidR="007E1807" w:rsidRDefault="007E1807" w:rsidP="00C8472C">
      <w:pPr>
        <w:spacing w:after="0"/>
      </w:pPr>
      <w:r>
        <w:continuationSeparator/>
      </w:r>
    </w:p>
  </w:endnote>
  <w:endnote w:id="1">
    <w:p w14:paraId="2863BC0A" w14:textId="06F2DC2B" w:rsidR="00D4144D" w:rsidRPr="00645E84" w:rsidRDefault="00D4144D"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1" w:history="1">
        <w:r w:rsidR="00F555BC" w:rsidRPr="00645E84">
          <w:rPr>
            <w:rStyle w:val="Hyperlink"/>
            <w:rFonts w:cs="Arial"/>
            <w:sz w:val="22"/>
            <w:szCs w:val="22"/>
          </w:rPr>
          <w:t>Transport for Quality of Life, 2021, The last chance saloon: we need to cut car mileage by at least 20%</w:t>
        </w:r>
      </w:hyperlink>
    </w:p>
  </w:endnote>
  <w:endnote w:id="2">
    <w:p w14:paraId="5AEA7B47" w14:textId="7D8A5557" w:rsidR="00D4144D" w:rsidRPr="00645E84" w:rsidRDefault="00D4144D"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2" w:history="1">
        <w:r w:rsidR="00F555BC" w:rsidRPr="00645E84">
          <w:rPr>
            <w:rStyle w:val="Hyperlink"/>
            <w:rFonts w:cs="Arial"/>
            <w:sz w:val="22"/>
            <w:szCs w:val="22"/>
          </w:rPr>
          <w:t xml:space="preserve">Department for Business, </w:t>
        </w:r>
        <w:r w:rsidR="00F555BC" w:rsidRPr="00645E84">
          <w:rPr>
            <w:rStyle w:val="Hyperlink"/>
            <w:rFonts w:cs="Arial"/>
            <w:sz w:val="22"/>
            <w:szCs w:val="22"/>
          </w:rPr>
          <w:t>Energy and Industrial Strategy, 2019, UK Greenhouse Gas Emissions, Final Figures</w:t>
        </w:r>
      </w:hyperlink>
    </w:p>
  </w:endnote>
  <w:endnote w:id="3">
    <w:p w14:paraId="0C2B5B2A" w14:textId="46BCA333"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3" w:history="1">
        <w:r w:rsidR="00F555BC" w:rsidRPr="00645E84">
          <w:rPr>
            <w:rStyle w:val="Hyperlink"/>
            <w:rFonts w:cs="Arial"/>
            <w:sz w:val="22"/>
            <w:szCs w:val="22"/>
          </w:rPr>
          <w:t>Sustrans, 2016, Transport Poverty in Scotland</w:t>
        </w:r>
      </w:hyperlink>
    </w:p>
  </w:endnote>
  <w:endnote w:id="4">
    <w:p w14:paraId="1CAE35A8" w14:textId="2526C1F0"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r w:rsidR="00F555BC" w:rsidRPr="00645E84">
        <w:rPr>
          <w:rFonts w:cs="Arial"/>
          <w:color w:val="000000"/>
          <w:sz w:val="22"/>
          <w:szCs w:val="22"/>
        </w:rPr>
        <w:t>Wheeling encompasses the use of a wheelchair or mobility scooter.</w:t>
      </w:r>
    </w:p>
  </w:endnote>
  <w:endnote w:id="5">
    <w:p w14:paraId="4EE18B82" w14:textId="23FC481E"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4" w:history="1">
        <w:r w:rsidR="00F555BC" w:rsidRPr="00645E84">
          <w:rPr>
            <w:rStyle w:val="Hyperlink"/>
            <w:rFonts w:cs="Arial"/>
            <w:sz w:val="22"/>
            <w:szCs w:val="22"/>
          </w:rPr>
          <w:t>Department for Levelling Up, Housing, and Communities, 2021, National Planning Policy Framework</w:t>
        </w:r>
      </w:hyperlink>
    </w:p>
  </w:endnote>
  <w:endnote w:id="6">
    <w:p w14:paraId="4DA0D3C4" w14:textId="0854359D"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r w:rsidR="00F555BC" w:rsidRPr="00645E84">
        <w:rPr>
          <w:rFonts w:cs="Arial"/>
          <w:color w:val="000000"/>
          <w:sz w:val="22"/>
          <w:szCs w:val="22"/>
        </w:rPr>
        <w:t xml:space="preserve">Wakenshaw, 2015, The Extent to which Walking Guidelines are Supported by </w:t>
      </w:r>
      <w:r w:rsidR="00F555BC" w:rsidRPr="00645E84">
        <w:rPr>
          <w:rFonts w:cs="Arial"/>
          <w:color w:val="403F41"/>
          <w:sz w:val="22"/>
          <w:szCs w:val="22"/>
        </w:rPr>
        <w:t>Empirical Data - A Study Based on Revealed Behaviour Edinburgh, Edinburgh Napier University.</w:t>
      </w:r>
    </w:p>
  </w:endnote>
  <w:endnote w:id="7">
    <w:p w14:paraId="13A5D6B6" w14:textId="5A51B65D" w:rsidR="00ED4BD4" w:rsidRPr="00645E84" w:rsidRDefault="00ED4BD4" w:rsidP="00645E84">
      <w:pPr>
        <w:pStyle w:val="EndnoteText"/>
        <w:spacing w:after="120"/>
        <w:rPr>
          <w:rFonts w:cs="Arial"/>
          <w:color w:val="0563C1" w:themeColor="hyperlink"/>
          <w:sz w:val="22"/>
          <w:szCs w:val="22"/>
          <w:u w:val="single"/>
        </w:rPr>
      </w:pPr>
      <w:r w:rsidRPr="00645E84">
        <w:rPr>
          <w:rStyle w:val="EndnoteReference"/>
          <w:rFonts w:cs="Arial"/>
          <w:sz w:val="22"/>
          <w:szCs w:val="22"/>
        </w:rPr>
        <w:endnoteRef/>
      </w:r>
      <w:r w:rsidRPr="00645E84">
        <w:rPr>
          <w:rFonts w:cs="Arial"/>
          <w:sz w:val="22"/>
          <w:szCs w:val="22"/>
        </w:rPr>
        <w:t xml:space="preserve"> </w:t>
      </w:r>
      <w:hyperlink r:id="rId5" w:history="1">
        <w:r w:rsidR="00F555BC" w:rsidRPr="00645E84">
          <w:rPr>
            <w:rStyle w:val="Hyperlink"/>
            <w:rFonts w:cs="Arial"/>
            <w:sz w:val="22"/>
            <w:szCs w:val="22"/>
          </w:rPr>
          <w:t xml:space="preserve">Barton. H, </w:t>
        </w:r>
        <w:r w:rsidR="00F555BC" w:rsidRPr="00645E84">
          <w:rPr>
            <w:rStyle w:val="Hyperlink"/>
            <w:rFonts w:cs="Arial"/>
            <w:sz w:val="22"/>
            <w:szCs w:val="22"/>
          </w:rPr>
          <w:t>Horswell. M, and Millar. P, 2012, Neighbourhood Accessibility and Active</w:t>
        </w:r>
        <w:r w:rsidR="00645E84" w:rsidRPr="00645E84">
          <w:rPr>
            <w:rStyle w:val="Hyperlink"/>
            <w:rFonts w:cs="Arial"/>
            <w:sz w:val="22"/>
            <w:szCs w:val="22"/>
          </w:rPr>
          <w:t xml:space="preserve"> </w:t>
        </w:r>
        <w:r w:rsidR="00F555BC" w:rsidRPr="00645E84">
          <w:rPr>
            <w:rStyle w:val="Hyperlink"/>
            <w:rFonts w:cs="Arial"/>
            <w:sz w:val="22"/>
            <w:szCs w:val="22"/>
          </w:rPr>
          <w:t>Travel, Planning Practice and Research, 27 (2), pp.177–201</w:t>
        </w:r>
      </w:hyperlink>
    </w:p>
  </w:endnote>
  <w:endnote w:id="8">
    <w:p w14:paraId="5C0C7F01" w14:textId="6B0B90C4"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6" w:history="1">
        <w:r w:rsidR="00F555BC" w:rsidRPr="00645E84">
          <w:rPr>
            <w:rStyle w:val="Hyperlink"/>
            <w:rFonts w:cs="Arial"/>
            <w:sz w:val="22"/>
            <w:szCs w:val="22"/>
          </w:rPr>
          <w:t>The Town and Country Planning Association, 2021, 20-Minute Neighbourhoods</w:t>
        </w:r>
      </w:hyperlink>
    </w:p>
  </w:endnote>
  <w:endnote w:id="9">
    <w:p w14:paraId="13A6D094" w14:textId="7C288C03"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7" w:history="1">
        <w:r w:rsidR="00F555BC" w:rsidRPr="00645E84">
          <w:rPr>
            <w:rStyle w:val="Hyperlink"/>
            <w:rFonts w:cs="Arial"/>
            <w:sz w:val="22"/>
            <w:szCs w:val="22"/>
          </w:rPr>
          <w:t>Department for Transport, 2018, Cycling and Walking Investment Strategy: Safety Review</w:t>
        </w:r>
      </w:hyperlink>
    </w:p>
  </w:endnote>
  <w:endnote w:id="10">
    <w:p w14:paraId="73BD2EEA" w14:textId="1BF80A54"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8" w:history="1">
        <w:r w:rsidR="00F555BC" w:rsidRPr="00645E84">
          <w:rPr>
            <w:rStyle w:val="Hyperlink"/>
            <w:rFonts w:cs="Arial"/>
            <w:sz w:val="22"/>
            <w:szCs w:val="22"/>
          </w:rPr>
          <w:t>eunomia, 2017, Air Quality Benefits of Active Travel</w:t>
        </w:r>
      </w:hyperlink>
    </w:p>
  </w:endnote>
  <w:endnote w:id="11">
    <w:p w14:paraId="618A7188" w14:textId="28DE6203"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9" w:history="1">
        <w:r w:rsidR="00F555BC" w:rsidRPr="00645E84">
          <w:rPr>
            <w:rStyle w:val="Hyperlink"/>
            <w:rFonts w:cs="Arial"/>
            <w:sz w:val="22"/>
            <w:szCs w:val="22"/>
          </w:rPr>
          <w:t>Sustrans, 2019, Bike Life</w:t>
        </w:r>
      </w:hyperlink>
    </w:p>
  </w:endnote>
  <w:endnote w:id="12">
    <w:p w14:paraId="663B21B7" w14:textId="25A90850"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10" w:history="1">
        <w:r w:rsidR="00F555BC" w:rsidRPr="00645E84">
          <w:rPr>
            <w:rStyle w:val="Hyperlink"/>
            <w:rFonts w:cs="Arial"/>
            <w:sz w:val="22"/>
            <w:szCs w:val="22"/>
          </w:rPr>
          <w:t>Transport for London, Walking and Cycling: The Economic Benefits</w:t>
        </w:r>
      </w:hyperlink>
    </w:p>
  </w:endnote>
  <w:endnote w:id="13">
    <w:p w14:paraId="28664596" w14:textId="10A2E92D"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11" w:history="1">
        <w:r w:rsidR="00F555BC" w:rsidRPr="00645E84">
          <w:rPr>
            <w:rStyle w:val="Hyperlink"/>
            <w:rFonts w:cs="Arial"/>
            <w:sz w:val="22"/>
            <w:szCs w:val="22"/>
          </w:rPr>
          <w:t>Transport for New Homes, 2022, Building Car Dependency</w:t>
        </w:r>
      </w:hyperlink>
    </w:p>
  </w:endnote>
  <w:endnote w:id="14">
    <w:p w14:paraId="67EED922" w14:textId="7004C33B"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12" w:history="1">
        <w:r w:rsidR="00F555BC" w:rsidRPr="00645E84">
          <w:rPr>
            <w:rStyle w:val="Hyperlink"/>
            <w:rFonts w:cs="Arial"/>
            <w:sz w:val="22"/>
            <w:szCs w:val="22"/>
          </w:rPr>
          <w:t>The Royal Town Planning Institute, 2021, Location of Development</w:t>
        </w:r>
      </w:hyperlink>
    </w:p>
  </w:endnote>
  <w:endnote w:id="15">
    <w:p w14:paraId="793A081C" w14:textId="33EFAFBE" w:rsidR="00ED4BD4" w:rsidRPr="00645E84" w:rsidRDefault="00ED4BD4"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13" w:history="1">
        <w:r w:rsidR="00F555BC" w:rsidRPr="00645E84">
          <w:rPr>
            <w:rStyle w:val="Hyperlink"/>
            <w:rFonts w:cs="Arial"/>
            <w:sz w:val="22"/>
            <w:szCs w:val="22"/>
          </w:rPr>
          <w:t>Carmona. M. et al., 2020, A Housing Design Audit for England</w:t>
        </w:r>
      </w:hyperlink>
    </w:p>
  </w:endnote>
  <w:endnote w:id="16">
    <w:p w14:paraId="699D4100" w14:textId="4D2473E4" w:rsidR="003B3E1B" w:rsidRPr="00645E84" w:rsidRDefault="003B3E1B"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14" w:history="1">
        <w:r w:rsidR="00F555BC" w:rsidRPr="00645E84">
          <w:rPr>
            <w:rStyle w:val="Hyperlink"/>
            <w:rFonts w:cs="Arial"/>
            <w:sz w:val="22"/>
            <w:szCs w:val="22"/>
          </w:rPr>
          <w:t>Transport for New Homes, 2018, Transport for New Homes: Project summary and recommendations</w:t>
        </w:r>
      </w:hyperlink>
    </w:p>
  </w:endnote>
  <w:endnote w:id="17">
    <w:p w14:paraId="32211E22" w14:textId="69CFCED0" w:rsidR="003B3E1B" w:rsidRPr="00645E84" w:rsidRDefault="003B3E1B"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15" w:history="1">
        <w:r w:rsidR="00F555BC" w:rsidRPr="00645E84">
          <w:rPr>
            <w:rStyle w:val="Hyperlink"/>
            <w:rFonts w:cs="Arial"/>
            <w:sz w:val="22"/>
            <w:szCs w:val="22"/>
          </w:rPr>
          <w:t>Chartered Institution of Highways &amp; Transportation, 2019, Better Planning, Better Transport, Better Places</w:t>
        </w:r>
      </w:hyperlink>
    </w:p>
  </w:endnote>
  <w:endnote w:id="18">
    <w:p w14:paraId="46CE54D1" w14:textId="588C6BEF" w:rsidR="003B3E1B" w:rsidRPr="00645E84" w:rsidRDefault="003B3E1B"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16" w:history="1">
        <w:r w:rsidR="00F555BC" w:rsidRPr="00645E84">
          <w:rPr>
            <w:rStyle w:val="Hyperlink"/>
            <w:rFonts w:cs="Arial"/>
            <w:sz w:val="22"/>
            <w:szCs w:val="22"/>
          </w:rPr>
          <w:t>Department for Transport, 2019, National Travel Survey: England 2018</w:t>
        </w:r>
      </w:hyperlink>
    </w:p>
  </w:endnote>
  <w:endnote w:id="19">
    <w:p w14:paraId="7BCF633C" w14:textId="70109481" w:rsidR="003B3E1B" w:rsidRPr="00645E84" w:rsidRDefault="003B3E1B"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17" w:history="1">
        <w:r w:rsidR="00F555BC" w:rsidRPr="00645E84">
          <w:rPr>
            <w:rStyle w:val="Hyperlink"/>
            <w:rFonts w:cs="Arial"/>
            <w:sz w:val="22"/>
            <w:szCs w:val="22"/>
          </w:rPr>
          <w:t>Department for Transport, 2007, Manual for Streets</w:t>
        </w:r>
      </w:hyperlink>
    </w:p>
  </w:endnote>
  <w:endnote w:id="20">
    <w:p w14:paraId="020552F5" w14:textId="6093E605" w:rsidR="003B3E1B" w:rsidRPr="00645E84" w:rsidRDefault="003B3E1B"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18" w:history="1">
        <w:r w:rsidR="00F555BC" w:rsidRPr="00645E84">
          <w:rPr>
            <w:rStyle w:val="Hyperlink"/>
            <w:rFonts w:cs="Arial"/>
            <w:sz w:val="22"/>
            <w:szCs w:val="22"/>
          </w:rPr>
          <w:t>Sport England, 2015, Active Design: Planning for health and wellbeing through sport and physical activity</w:t>
        </w:r>
      </w:hyperlink>
    </w:p>
  </w:endnote>
  <w:endnote w:id="21">
    <w:p w14:paraId="11F55B2B" w14:textId="505DD6CF" w:rsidR="003B3E1B" w:rsidRPr="00645E84" w:rsidRDefault="003B3E1B"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19" w:history="1">
        <w:r w:rsidR="00F555BC" w:rsidRPr="00645E84">
          <w:rPr>
            <w:rStyle w:val="Hyperlink"/>
            <w:rFonts w:cs="Arial"/>
            <w:sz w:val="22"/>
            <w:szCs w:val="22"/>
          </w:rPr>
          <w:t>Chartered Institute of Highways and Transportation, 2015, Planning for Walking</w:t>
        </w:r>
      </w:hyperlink>
    </w:p>
  </w:endnote>
  <w:endnote w:id="22">
    <w:p w14:paraId="7FF565D9" w14:textId="605F449D" w:rsidR="003B3E1B" w:rsidRPr="00645E84" w:rsidRDefault="003B3E1B"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20" w:history="1">
        <w:r w:rsidR="00F555BC" w:rsidRPr="00645E84">
          <w:rPr>
            <w:rStyle w:val="Hyperlink"/>
            <w:rFonts w:cs="Arial"/>
            <w:sz w:val="22"/>
            <w:szCs w:val="22"/>
          </w:rPr>
          <w:t xml:space="preserve">Local Government Association, 2020, Decarbonising transport - The role of land use, </w:t>
        </w:r>
        <w:r w:rsidR="00F555BC" w:rsidRPr="00645E84">
          <w:rPr>
            <w:rStyle w:val="Hyperlink"/>
            <w:rFonts w:cs="Arial"/>
            <w:sz w:val="22"/>
            <w:szCs w:val="22"/>
          </w:rPr>
          <w:t>localisation and accessibility</w:t>
        </w:r>
      </w:hyperlink>
    </w:p>
  </w:endnote>
  <w:endnote w:id="23">
    <w:p w14:paraId="5991C860" w14:textId="402B94F0" w:rsidR="003B3E1B" w:rsidRPr="00645E84" w:rsidRDefault="003B3E1B"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21" w:history="1">
        <w:r w:rsidR="00F555BC" w:rsidRPr="00645E84">
          <w:rPr>
            <w:rStyle w:val="Hyperlink"/>
            <w:rFonts w:cs="Arial"/>
            <w:sz w:val="22"/>
            <w:szCs w:val="22"/>
          </w:rPr>
          <w:t>Chartered Institution of Highways &amp; Transportation, 2015, Planning for Walking</w:t>
        </w:r>
      </w:hyperlink>
    </w:p>
  </w:endnote>
  <w:endnote w:id="24">
    <w:p w14:paraId="20F4FB74" w14:textId="4300DB21" w:rsidR="003B3E1B" w:rsidRPr="00645E84" w:rsidRDefault="003B3E1B"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22" w:history="1">
        <w:r w:rsidR="00F555BC" w:rsidRPr="00645E84">
          <w:rPr>
            <w:rStyle w:val="Hyperlink"/>
            <w:rFonts w:cs="Arial"/>
            <w:sz w:val="22"/>
            <w:szCs w:val="22"/>
          </w:rPr>
          <w:t>Department for Levelling Up, Housing, and Communities, 2021, National Design Guide</w:t>
        </w:r>
      </w:hyperlink>
    </w:p>
  </w:endnote>
  <w:endnote w:id="25">
    <w:p w14:paraId="754369FC" w14:textId="7193911A" w:rsidR="003B3E1B" w:rsidRPr="00645E84" w:rsidRDefault="003B3E1B"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23" w:history="1">
        <w:r w:rsidR="00F555BC" w:rsidRPr="00645E84">
          <w:rPr>
            <w:rStyle w:val="Hyperlink"/>
            <w:rFonts w:cs="Arial"/>
            <w:sz w:val="22"/>
            <w:szCs w:val="22"/>
          </w:rPr>
          <w:t>Local Government Association, 2022, Sustainability appraisal</w:t>
        </w:r>
      </w:hyperlink>
    </w:p>
  </w:endnote>
  <w:endnote w:id="26">
    <w:p w14:paraId="6138E66E" w14:textId="303C8C40" w:rsidR="003B3E1B" w:rsidRPr="00645E84" w:rsidRDefault="003B3E1B"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24" w:history="1">
        <w:r w:rsidR="00F555BC" w:rsidRPr="00645E84">
          <w:rPr>
            <w:rStyle w:val="Hyperlink"/>
            <w:rFonts w:cs="Arial"/>
            <w:sz w:val="22"/>
            <w:szCs w:val="22"/>
          </w:rPr>
          <w:t>Chartered Institute of Highways and Transportation, 2018, Buses in Urban Developments</w:t>
        </w:r>
      </w:hyperlink>
    </w:p>
  </w:endnote>
  <w:endnote w:id="27">
    <w:p w14:paraId="4FD35F82" w14:textId="0C2579C7" w:rsidR="00F555BC" w:rsidRPr="00645E84" w:rsidRDefault="00F555BC"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25" w:history="1">
        <w:r w:rsidRPr="00645E84">
          <w:rPr>
            <w:rStyle w:val="Hyperlink"/>
            <w:rFonts w:cs="Arial"/>
            <w:sz w:val="22"/>
            <w:szCs w:val="22"/>
          </w:rPr>
          <w:t>Chartered Institution of Highways &amp; Transportation, 2019, Better Planning, Better Transport, Better Places</w:t>
        </w:r>
      </w:hyperlink>
    </w:p>
  </w:endnote>
  <w:endnote w:id="28">
    <w:p w14:paraId="4C341E41" w14:textId="1D4C10BA" w:rsidR="00F555BC" w:rsidRPr="00645E84" w:rsidRDefault="00F555BC"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26" w:history="1">
        <w:r w:rsidRPr="00645E84">
          <w:rPr>
            <w:rStyle w:val="Hyperlink"/>
            <w:rFonts w:cs="Arial"/>
            <w:sz w:val="22"/>
            <w:szCs w:val="22"/>
          </w:rPr>
          <w:t>International Transport Forum, 2019, Improving Transport Planning and Investment Through the Use of Accessibility Indicators</w:t>
        </w:r>
      </w:hyperlink>
    </w:p>
  </w:endnote>
  <w:endnote w:id="29">
    <w:p w14:paraId="2BF40898" w14:textId="3A4C32AC" w:rsidR="00F555BC" w:rsidRPr="00645E84" w:rsidRDefault="00F555BC" w:rsidP="00645E84">
      <w:pPr>
        <w:pStyle w:val="EndnoteText"/>
        <w:spacing w:after="120"/>
        <w:rPr>
          <w:rFonts w:cs="Arial"/>
          <w:sz w:val="22"/>
          <w:szCs w:val="22"/>
        </w:rPr>
      </w:pPr>
      <w:r w:rsidRPr="00645E84">
        <w:rPr>
          <w:rStyle w:val="EndnoteReference"/>
          <w:rFonts w:cs="Arial"/>
          <w:sz w:val="22"/>
          <w:szCs w:val="22"/>
        </w:rPr>
        <w:endnoteRef/>
      </w:r>
      <w:r w:rsidRPr="00645E84">
        <w:rPr>
          <w:rFonts w:cs="Arial"/>
          <w:sz w:val="22"/>
          <w:szCs w:val="22"/>
        </w:rPr>
        <w:t xml:space="preserve"> </w:t>
      </w:r>
      <w:hyperlink r:id="rId27" w:history="1">
        <w:r w:rsidR="00645E84" w:rsidRPr="00645E84">
          <w:rPr>
            <w:rStyle w:val="Hyperlink"/>
            <w:rFonts w:cs="Arial"/>
            <w:sz w:val="22"/>
            <w:szCs w:val="22"/>
          </w:rPr>
          <w:t>Department for Levelling Up, Housing, and Communities, 2022, Planning Practice Guidance</w:t>
        </w:r>
      </w:hyperlink>
    </w:p>
  </w:endnote>
  <w:endnote w:id="30">
    <w:p w14:paraId="6CA76C3A" w14:textId="2640A262" w:rsidR="00F555BC" w:rsidRDefault="00F555BC" w:rsidP="00645E84">
      <w:pPr>
        <w:pStyle w:val="EndnoteText"/>
        <w:spacing w:after="120"/>
      </w:pPr>
      <w:r w:rsidRPr="00645E84">
        <w:rPr>
          <w:rStyle w:val="EndnoteReference"/>
          <w:rFonts w:cs="Arial"/>
          <w:sz w:val="22"/>
          <w:szCs w:val="22"/>
        </w:rPr>
        <w:endnoteRef/>
      </w:r>
      <w:r w:rsidRPr="00645E84">
        <w:rPr>
          <w:rFonts w:cs="Arial"/>
          <w:sz w:val="22"/>
          <w:szCs w:val="22"/>
        </w:rPr>
        <w:t xml:space="preserve"> </w:t>
      </w:r>
      <w:hyperlink r:id="rId28" w:history="1">
        <w:r w:rsidR="00645E84" w:rsidRPr="00645E84">
          <w:rPr>
            <w:rStyle w:val="Hyperlink"/>
            <w:rFonts w:cs="Arial"/>
            <w:sz w:val="22"/>
            <w:szCs w:val="22"/>
          </w:rPr>
          <w:t>Background Paper: Accessibility Study, 2018, Fareham Borough Council</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D41B5" w14:textId="77777777" w:rsidR="007E1807" w:rsidRDefault="007E1807" w:rsidP="00C8472C">
      <w:pPr>
        <w:spacing w:after="0"/>
      </w:pPr>
      <w:r>
        <w:separator/>
      </w:r>
    </w:p>
  </w:footnote>
  <w:footnote w:type="continuationSeparator" w:id="0">
    <w:p w14:paraId="4B306052" w14:textId="77777777" w:rsidR="007E1807" w:rsidRDefault="007E1807" w:rsidP="00C847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8B1"/>
    <w:multiLevelType w:val="hybridMultilevel"/>
    <w:tmpl w:val="CFDA6F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1A0166"/>
    <w:multiLevelType w:val="hybridMultilevel"/>
    <w:tmpl w:val="84202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D687B"/>
    <w:multiLevelType w:val="hybridMultilevel"/>
    <w:tmpl w:val="09324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E693A"/>
    <w:multiLevelType w:val="hybridMultilevel"/>
    <w:tmpl w:val="258A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136CF"/>
    <w:multiLevelType w:val="hybridMultilevel"/>
    <w:tmpl w:val="BB86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04384D"/>
    <w:multiLevelType w:val="hybridMultilevel"/>
    <w:tmpl w:val="56882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66110"/>
    <w:multiLevelType w:val="hybridMultilevel"/>
    <w:tmpl w:val="E8EAFE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EF34FC"/>
    <w:multiLevelType w:val="hybridMultilevel"/>
    <w:tmpl w:val="DDC8E9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B3EC2"/>
    <w:multiLevelType w:val="hybridMultilevel"/>
    <w:tmpl w:val="8CCE41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1832AD7"/>
    <w:multiLevelType w:val="hybridMultilevel"/>
    <w:tmpl w:val="51A6B8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88216C"/>
    <w:multiLevelType w:val="hybridMultilevel"/>
    <w:tmpl w:val="BF8A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6B1702"/>
    <w:multiLevelType w:val="hybridMultilevel"/>
    <w:tmpl w:val="EE06FF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7D4E29"/>
    <w:multiLevelType w:val="hybridMultilevel"/>
    <w:tmpl w:val="093241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AF1952"/>
    <w:multiLevelType w:val="hybridMultilevel"/>
    <w:tmpl w:val="287C70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A8C17E7"/>
    <w:multiLevelType w:val="hybridMultilevel"/>
    <w:tmpl w:val="39A01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C20AF3"/>
    <w:multiLevelType w:val="hybridMultilevel"/>
    <w:tmpl w:val="718EA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7048BE"/>
    <w:multiLevelType w:val="hybridMultilevel"/>
    <w:tmpl w:val="EDE40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7A4E78"/>
    <w:multiLevelType w:val="hybridMultilevel"/>
    <w:tmpl w:val="15CE0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0D5E9F"/>
    <w:multiLevelType w:val="hybridMultilevel"/>
    <w:tmpl w:val="6B76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A1CAD"/>
    <w:multiLevelType w:val="hybridMultilevel"/>
    <w:tmpl w:val="BA2849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AC3239C"/>
    <w:multiLevelType w:val="hybridMultilevel"/>
    <w:tmpl w:val="A9EE81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0CE0B84"/>
    <w:multiLevelType w:val="hybridMultilevel"/>
    <w:tmpl w:val="D21CF7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891A9A"/>
    <w:multiLevelType w:val="hybridMultilevel"/>
    <w:tmpl w:val="99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715D0B"/>
    <w:multiLevelType w:val="hybridMultilevel"/>
    <w:tmpl w:val="4D46DB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A1395"/>
    <w:multiLevelType w:val="hybridMultilevel"/>
    <w:tmpl w:val="B874D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89A1D5C"/>
    <w:multiLevelType w:val="hybridMultilevel"/>
    <w:tmpl w:val="139221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D261AAA"/>
    <w:multiLevelType w:val="hybridMultilevel"/>
    <w:tmpl w:val="38ACA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19"/>
  </w:num>
  <w:num w:numId="2" w16cid:durableId="1627928061">
    <w:abstractNumId w:val="27"/>
  </w:num>
  <w:num w:numId="3" w16cid:durableId="38481125">
    <w:abstractNumId w:val="5"/>
  </w:num>
  <w:num w:numId="4" w16cid:durableId="194849973">
    <w:abstractNumId w:val="24"/>
  </w:num>
  <w:num w:numId="5" w16cid:durableId="1039670595">
    <w:abstractNumId w:val="12"/>
  </w:num>
  <w:num w:numId="6" w16cid:durableId="2099911034">
    <w:abstractNumId w:val="2"/>
  </w:num>
  <w:num w:numId="7" w16cid:durableId="1510099658">
    <w:abstractNumId w:val="26"/>
  </w:num>
  <w:num w:numId="8" w16cid:durableId="843055585">
    <w:abstractNumId w:val="15"/>
  </w:num>
  <w:num w:numId="9" w16cid:durableId="770275251">
    <w:abstractNumId w:val="28"/>
  </w:num>
  <w:num w:numId="10" w16cid:durableId="1809393180">
    <w:abstractNumId w:val="14"/>
  </w:num>
  <w:num w:numId="11" w16cid:durableId="842596902">
    <w:abstractNumId w:val="8"/>
  </w:num>
  <w:num w:numId="12" w16cid:durableId="98185160">
    <w:abstractNumId w:val="17"/>
  </w:num>
  <w:num w:numId="13" w16cid:durableId="1304046573">
    <w:abstractNumId w:val="30"/>
  </w:num>
  <w:num w:numId="14" w16cid:durableId="180701822">
    <w:abstractNumId w:val="1"/>
  </w:num>
  <w:num w:numId="15" w16cid:durableId="1894072566">
    <w:abstractNumId w:val="25"/>
  </w:num>
  <w:num w:numId="16" w16cid:durableId="1693068317">
    <w:abstractNumId w:val="6"/>
  </w:num>
  <w:num w:numId="17" w16cid:durableId="1613324754">
    <w:abstractNumId w:val="3"/>
  </w:num>
  <w:num w:numId="18" w16cid:durableId="152843384">
    <w:abstractNumId w:val="4"/>
  </w:num>
  <w:num w:numId="19" w16cid:durableId="1806200187">
    <w:abstractNumId w:val="18"/>
  </w:num>
  <w:num w:numId="20" w16cid:durableId="267157016">
    <w:abstractNumId w:val="11"/>
  </w:num>
  <w:num w:numId="21" w16cid:durableId="125244732">
    <w:abstractNumId w:val="20"/>
  </w:num>
  <w:num w:numId="22" w16cid:durableId="1214735102">
    <w:abstractNumId w:val="22"/>
  </w:num>
  <w:num w:numId="23" w16cid:durableId="1780683635">
    <w:abstractNumId w:val="29"/>
  </w:num>
  <w:num w:numId="24" w16cid:durableId="1611088303">
    <w:abstractNumId w:val="9"/>
  </w:num>
  <w:num w:numId="25" w16cid:durableId="754132255">
    <w:abstractNumId w:val="10"/>
  </w:num>
  <w:num w:numId="26" w16cid:durableId="187839883">
    <w:abstractNumId w:val="23"/>
  </w:num>
  <w:num w:numId="27" w16cid:durableId="1795752294">
    <w:abstractNumId w:val="16"/>
  </w:num>
  <w:num w:numId="28" w16cid:durableId="1299648572">
    <w:abstractNumId w:val="0"/>
  </w:num>
  <w:num w:numId="29" w16cid:durableId="1318462741">
    <w:abstractNumId w:val="13"/>
  </w:num>
  <w:num w:numId="30" w16cid:durableId="2103329596">
    <w:abstractNumId w:val="7"/>
  </w:num>
  <w:num w:numId="31" w16cid:durableId="38915889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56115"/>
    <w:rsid w:val="00094666"/>
    <w:rsid w:val="000960A4"/>
    <w:rsid w:val="000A081D"/>
    <w:rsid w:val="000B18B8"/>
    <w:rsid w:val="000B2016"/>
    <w:rsid w:val="000B55C4"/>
    <w:rsid w:val="000E54C2"/>
    <w:rsid w:val="000E6B5F"/>
    <w:rsid w:val="000F2CDD"/>
    <w:rsid w:val="001162AD"/>
    <w:rsid w:val="00117931"/>
    <w:rsid w:val="00123594"/>
    <w:rsid w:val="00206E0B"/>
    <w:rsid w:val="002419F1"/>
    <w:rsid w:val="00261643"/>
    <w:rsid w:val="00274558"/>
    <w:rsid w:val="0028628B"/>
    <w:rsid w:val="002A0C21"/>
    <w:rsid w:val="002D1F4E"/>
    <w:rsid w:val="002D245F"/>
    <w:rsid w:val="002D7EC3"/>
    <w:rsid w:val="002E60BA"/>
    <w:rsid w:val="002F6325"/>
    <w:rsid w:val="0033402B"/>
    <w:rsid w:val="00354C9D"/>
    <w:rsid w:val="00362D0D"/>
    <w:rsid w:val="00384EF2"/>
    <w:rsid w:val="00387E3D"/>
    <w:rsid w:val="003A31C3"/>
    <w:rsid w:val="003A55AF"/>
    <w:rsid w:val="003A7487"/>
    <w:rsid w:val="003B3627"/>
    <w:rsid w:val="003B3E1B"/>
    <w:rsid w:val="003B4870"/>
    <w:rsid w:val="003F57CE"/>
    <w:rsid w:val="00413A33"/>
    <w:rsid w:val="00434EF7"/>
    <w:rsid w:val="00440AC4"/>
    <w:rsid w:val="0044620E"/>
    <w:rsid w:val="0045186C"/>
    <w:rsid w:val="00457467"/>
    <w:rsid w:val="00463277"/>
    <w:rsid w:val="00470F8C"/>
    <w:rsid w:val="00473458"/>
    <w:rsid w:val="004C0EEE"/>
    <w:rsid w:val="004D07C9"/>
    <w:rsid w:val="0053061A"/>
    <w:rsid w:val="005439CE"/>
    <w:rsid w:val="0054795F"/>
    <w:rsid w:val="00553403"/>
    <w:rsid w:val="00560123"/>
    <w:rsid w:val="005A00FD"/>
    <w:rsid w:val="005B1117"/>
    <w:rsid w:val="005B3E72"/>
    <w:rsid w:val="005C570B"/>
    <w:rsid w:val="005D280A"/>
    <w:rsid w:val="005E4444"/>
    <w:rsid w:val="005E7528"/>
    <w:rsid w:val="00601821"/>
    <w:rsid w:val="0060675E"/>
    <w:rsid w:val="006108A5"/>
    <w:rsid w:val="006324A6"/>
    <w:rsid w:val="00645E84"/>
    <w:rsid w:val="00646CF9"/>
    <w:rsid w:val="00663EDD"/>
    <w:rsid w:val="00685223"/>
    <w:rsid w:val="006A4690"/>
    <w:rsid w:val="006A65D8"/>
    <w:rsid w:val="006B6E73"/>
    <w:rsid w:val="007062FF"/>
    <w:rsid w:val="007534EB"/>
    <w:rsid w:val="00760F53"/>
    <w:rsid w:val="0077248C"/>
    <w:rsid w:val="00784AA6"/>
    <w:rsid w:val="00790B8D"/>
    <w:rsid w:val="007E1807"/>
    <w:rsid w:val="00802FD6"/>
    <w:rsid w:val="00820DC6"/>
    <w:rsid w:val="0083155E"/>
    <w:rsid w:val="00855E3E"/>
    <w:rsid w:val="008762FB"/>
    <w:rsid w:val="008909FB"/>
    <w:rsid w:val="008C6781"/>
    <w:rsid w:val="008D4F3A"/>
    <w:rsid w:val="008E1CEA"/>
    <w:rsid w:val="008F2044"/>
    <w:rsid w:val="00935AD0"/>
    <w:rsid w:val="00964F89"/>
    <w:rsid w:val="00973E8E"/>
    <w:rsid w:val="00991756"/>
    <w:rsid w:val="009B01CE"/>
    <w:rsid w:val="009C2CE3"/>
    <w:rsid w:val="009C57D1"/>
    <w:rsid w:val="00A618CD"/>
    <w:rsid w:val="00A841B7"/>
    <w:rsid w:val="00A853BB"/>
    <w:rsid w:val="00AA5104"/>
    <w:rsid w:val="00AB7F96"/>
    <w:rsid w:val="00AF4B09"/>
    <w:rsid w:val="00B0156E"/>
    <w:rsid w:val="00B3312F"/>
    <w:rsid w:val="00B55030"/>
    <w:rsid w:val="00B74571"/>
    <w:rsid w:val="00BA315A"/>
    <w:rsid w:val="00BA73BA"/>
    <w:rsid w:val="00BC6878"/>
    <w:rsid w:val="00BF623E"/>
    <w:rsid w:val="00C17FC0"/>
    <w:rsid w:val="00C301A0"/>
    <w:rsid w:val="00C36A78"/>
    <w:rsid w:val="00C41991"/>
    <w:rsid w:val="00C533C7"/>
    <w:rsid w:val="00C74AE5"/>
    <w:rsid w:val="00C8472C"/>
    <w:rsid w:val="00C93A16"/>
    <w:rsid w:val="00CB6325"/>
    <w:rsid w:val="00CB78B9"/>
    <w:rsid w:val="00CE23B1"/>
    <w:rsid w:val="00CE4F1F"/>
    <w:rsid w:val="00CF7EAC"/>
    <w:rsid w:val="00D03CB0"/>
    <w:rsid w:val="00D05C68"/>
    <w:rsid w:val="00D303F8"/>
    <w:rsid w:val="00D4144D"/>
    <w:rsid w:val="00D6296A"/>
    <w:rsid w:val="00D83025"/>
    <w:rsid w:val="00D96913"/>
    <w:rsid w:val="00DA71EF"/>
    <w:rsid w:val="00DD6AB5"/>
    <w:rsid w:val="00DE7F86"/>
    <w:rsid w:val="00E006B8"/>
    <w:rsid w:val="00E15283"/>
    <w:rsid w:val="00E20275"/>
    <w:rsid w:val="00E465F8"/>
    <w:rsid w:val="00E7068C"/>
    <w:rsid w:val="00E7582E"/>
    <w:rsid w:val="00E82C30"/>
    <w:rsid w:val="00E97500"/>
    <w:rsid w:val="00ED4BD4"/>
    <w:rsid w:val="00ED5883"/>
    <w:rsid w:val="00F1103E"/>
    <w:rsid w:val="00F36B6D"/>
    <w:rsid w:val="00F36D08"/>
    <w:rsid w:val="00F555BC"/>
    <w:rsid w:val="00F72B2F"/>
    <w:rsid w:val="00F75072"/>
    <w:rsid w:val="00F81A37"/>
    <w:rsid w:val="00F82A9A"/>
    <w:rsid w:val="00FC7DD3"/>
    <w:rsid w:val="00FD7B21"/>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55030"/>
    <w:pPr>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5503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customStyle="1" w:styleId="NoParagraphStyle">
    <w:name w:val="[No Paragraph Style]"/>
    <w:rsid w:val="000B55C4"/>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39"/>
    <w:rsid w:val="000B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Normal"/>
    <w:next w:val="Normal"/>
    <w:uiPriority w:val="99"/>
    <w:rsid w:val="00AF4B09"/>
    <w:pPr>
      <w:autoSpaceDE w:val="0"/>
      <w:autoSpaceDN w:val="0"/>
      <w:adjustRightInd w:val="0"/>
      <w:spacing w:after="0" w:line="201" w:lineRule="atLeast"/>
    </w:pPr>
    <w:rPr>
      <w:rFonts w:ascii="Helvetica" w:hAnsi="Helvetica"/>
    </w:rPr>
  </w:style>
  <w:style w:type="paragraph" w:styleId="EndnoteText">
    <w:name w:val="endnote text"/>
    <w:basedOn w:val="Normal"/>
    <w:link w:val="EndnoteTextChar"/>
    <w:uiPriority w:val="99"/>
    <w:semiHidden/>
    <w:unhideWhenUsed/>
    <w:rsid w:val="00D4144D"/>
    <w:pPr>
      <w:spacing w:after="0"/>
    </w:pPr>
    <w:rPr>
      <w:sz w:val="20"/>
      <w:szCs w:val="20"/>
    </w:rPr>
  </w:style>
  <w:style w:type="character" w:customStyle="1" w:styleId="EndnoteTextChar">
    <w:name w:val="Endnote Text Char"/>
    <w:basedOn w:val="DefaultParagraphFont"/>
    <w:link w:val="EndnoteText"/>
    <w:uiPriority w:val="99"/>
    <w:semiHidden/>
    <w:rsid w:val="00D4144D"/>
    <w:rPr>
      <w:rFonts w:ascii="Arial" w:hAnsi="Arial"/>
      <w:sz w:val="20"/>
      <w:szCs w:val="20"/>
    </w:rPr>
  </w:style>
  <w:style w:type="character" w:styleId="EndnoteReference">
    <w:name w:val="endnote reference"/>
    <w:basedOn w:val="DefaultParagraphFont"/>
    <w:uiPriority w:val="99"/>
    <w:semiHidden/>
    <w:unhideWhenUsed/>
    <w:rsid w:val="00D4144D"/>
    <w:rPr>
      <w:vertAlign w:val="superscript"/>
    </w:rPr>
  </w:style>
  <w:style w:type="character" w:customStyle="1" w:styleId="A5">
    <w:name w:val="A5"/>
    <w:uiPriority w:val="99"/>
    <w:rsid w:val="00F555BC"/>
    <w:rPr>
      <w:rFonts w:cs="Helvetica"/>
      <w:color w:val="233672"/>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04606">
      <w:bodyDiv w:val="1"/>
      <w:marLeft w:val="0"/>
      <w:marRight w:val="0"/>
      <w:marTop w:val="0"/>
      <w:marBottom w:val="0"/>
      <w:divBdr>
        <w:top w:val="none" w:sz="0" w:space="0" w:color="auto"/>
        <w:left w:val="none" w:sz="0" w:space="0" w:color="auto"/>
        <w:bottom w:val="none" w:sz="0" w:space="0" w:color="auto"/>
        <w:right w:val="none" w:sz="0" w:space="0" w:color="auto"/>
      </w:divBdr>
    </w:div>
    <w:div w:id="258682435">
      <w:bodyDiv w:val="1"/>
      <w:marLeft w:val="0"/>
      <w:marRight w:val="0"/>
      <w:marTop w:val="0"/>
      <w:marBottom w:val="0"/>
      <w:divBdr>
        <w:top w:val="none" w:sz="0" w:space="0" w:color="auto"/>
        <w:left w:val="none" w:sz="0" w:space="0" w:color="auto"/>
        <w:bottom w:val="none" w:sz="0" w:space="0" w:color="auto"/>
        <w:right w:val="none" w:sz="0" w:space="0" w:color="auto"/>
      </w:divBdr>
    </w:div>
    <w:div w:id="321547210">
      <w:bodyDiv w:val="1"/>
      <w:marLeft w:val="0"/>
      <w:marRight w:val="0"/>
      <w:marTop w:val="0"/>
      <w:marBottom w:val="0"/>
      <w:divBdr>
        <w:top w:val="none" w:sz="0" w:space="0" w:color="auto"/>
        <w:left w:val="none" w:sz="0" w:space="0" w:color="auto"/>
        <w:bottom w:val="none" w:sz="0" w:space="0" w:color="auto"/>
        <w:right w:val="none" w:sz="0" w:space="0" w:color="auto"/>
      </w:divBdr>
    </w:div>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485777916">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050811632">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939748209">
      <w:bodyDiv w:val="1"/>
      <w:marLeft w:val="0"/>
      <w:marRight w:val="0"/>
      <w:marTop w:val="0"/>
      <w:marBottom w:val="0"/>
      <w:divBdr>
        <w:top w:val="none" w:sz="0" w:space="0" w:color="auto"/>
        <w:left w:val="none" w:sz="0" w:space="0" w:color="auto"/>
        <w:bottom w:val="none" w:sz="0" w:space="0" w:color="auto"/>
        <w:right w:val="none" w:sz="0" w:space="0" w:color="auto"/>
      </w:divBdr>
    </w:div>
    <w:div w:id="201545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strans.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fton.gov.uk/media/2950/sustainabletravel-spd-june-201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nningpdf.fareham.gov.uk/PDF/planning/publicationplan/NCU-170621-AccessibilityBackgroundPaper-FINAL.pdf" TargetMode="External"/><Relationship Id="rId5" Type="http://schemas.openxmlformats.org/officeDocument/2006/relationships/webSettings" Target="webSettings.xml"/><Relationship Id="rId10" Type="http://schemas.openxmlformats.org/officeDocument/2006/relationships/hyperlink" Target="https://www.braintree.gov.uk/downloads/file/3008/bdc025-2-2-sa-section-2-appendix-june-17" TargetMode="External"/><Relationship Id="rId4" Type="http://schemas.openxmlformats.org/officeDocument/2006/relationships/settings" Target="settings.xml"/><Relationship Id="rId9" Type="http://schemas.openxmlformats.org/officeDocument/2006/relationships/hyperlink" Target="https://www.birmingham.gov.uk/downloads/file/5433/adopted_birmingham_development_plan_2031" TargetMode="Externa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sustrans.org.uk/media/2919/2919.pdf" TargetMode="External"/><Relationship Id="rId13" Type="http://schemas.openxmlformats.org/officeDocument/2006/relationships/hyperlink" Target="https://adobeindd.com/view/publications/23366ae1-8f97-455d-896a-1a9934689cd8/sp1x/publication-web-resources/pdf/Place_Alliance_-_A_Housing_Design_Audit_for_England_2020_Final_Draft.pdf" TargetMode="External"/><Relationship Id="rId18" Type="http://schemas.openxmlformats.org/officeDocument/2006/relationships/hyperlink" Target="https://sportengland-production-files.s3.eu-west-2.amazonaws.com/s3fs-public/spe003-active-design-published-october-2015-high-quality-for-web-2.pdf?VersionId=uCz_r6UyApzAZlaiEVaNt69DAaOCmklQ" TargetMode="External"/><Relationship Id="rId26" Type="http://schemas.openxmlformats.org/officeDocument/2006/relationships/hyperlink" Target="https://www.itf-oecd.org/sites/default/files/docs/improving-transport-planning-investment-accessibility-indicators.pdf" TargetMode="External"/><Relationship Id="rId3" Type="http://schemas.openxmlformats.org/officeDocument/2006/relationships/hyperlink" Target="https://www.sustrans.org.uk/media/2880/%20transport_poverty_in_scotland_2016.pdf" TargetMode="External"/><Relationship Id="rId21" Type="http://schemas.openxmlformats.org/officeDocument/2006/relationships/hyperlink" Target="https://www.ciht.org.uk/media/4465/planning_for_walking_-_long_-_april_2015.pdf" TargetMode="External"/><Relationship Id="rId7" Type="http://schemas.openxmlformats.org/officeDocument/2006/relationships/hyperlink" Target="https://assets.publishing.service.gov.uk/government/uploads/system/uploads/attachment_data/file/758519/cycling-walking-investment-strategy-safety-review.pdf" TargetMode="External"/><Relationship Id="rId12" Type="http://schemas.openxmlformats.org/officeDocument/2006/relationships/hyperlink" Target="https://www.rtpi.org.uk/locationofdevelopment" TargetMode="External"/><Relationship Id="rId17" Type="http://schemas.openxmlformats.org/officeDocument/2006/relationships/hyperlink" Target="https://assets.publishing.service.gov.uk/government/uploads/system/uploads/attachment_data/file/341513/pdfmanforstreets.pdf" TargetMode="External"/><Relationship Id="rId25" Type="http://schemas.openxmlformats.org/officeDocument/2006/relationships/hyperlink" Target="https://www.ciht.org.uk/media/10218/ciht-better-planning-a4_updated_linked_.pdf" TargetMode="External"/><Relationship Id="rId2" Type="http://schemas.openxmlformats.org/officeDocument/2006/relationships/hyperlink" Target="https://assets.publishing.service.gov.uk/government/uploads/system/uploads/attachment_data/file/957887/2019_Final_greenhouse_gas_emissions_statistical_release.pdf" TargetMode="External"/><Relationship Id="rId16" Type="http://schemas.openxmlformats.org/officeDocument/2006/relationships/hyperlink" Target="https://assets.publishing.service.gov.uk/government/uploads/system/uploads/attachment_data/file/823068/national-travel-survey-2018.pdf" TargetMode="External"/><Relationship Id="rId20" Type="http://schemas.openxmlformats.org/officeDocument/2006/relationships/hyperlink" Target="https://www.local.gov.uk/publications/decarbonising-transport-role-land-use-localisation-and-accessibility" TargetMode="External"/><Relationship Id="rId1" Type="http://schemas.openxmlformats.org/officeDocument/2006/relationships/hyperlink" Target="https://www.transportforqualityoflife.com/u/files/211214%20The%20last%20chance%20saloon%20to%20cut%20car%20mileage.pdf" TargetMode="External"/><Relationship Id="rId6" Type="http://schemas.openxmlformats.org/officeDocument/2006/relationships/hyperlink" Target="https://tcpa.org.uk/wp-content/uploads/2021/11/final_20mnguide-compressed.pdf" TargetMode="External"/><Relationship Id="rId11" Type="http://schemas.openxmlformats.org/officeDocument/2006/relationships/hyperlink" Target="https://www.transportfornewhomes.org.uk/wp-content/uploads/2022/02/Building-Car-Dependency-2022.pdf?utm_source=TfNH_website&amp;utm_medium=website_pdf&amp;utm_campaign=report_launch" TargetMode="External"/><Relationship Id="rId24" Type="http://schemas.openxmlformats.org/officeDocument/2006/relationships/hyperlink" Target="https://www.ciht.org.uk/media/4459/buses_ua_tp_full_version_v5.pdf" TargetMode="External"/><Relationship Id="rId5" Type="http://schemas.openxmlformats.org/officeDocument/2006/relationships/hyperlink" Target="http://www.tandfonline.com/doi/abs/10.1080/02697459.2012.661636" TargetMode="External"/><Relationship Id="rId15" Type="http://schemas.openxmlformats.org/officeDocument/2006/relationships/hyperlink" Target="https://www.ciht.org.uk/media/10218/ciht-better-planning-a4_updated_linked_.pdf" TargetMode="External"/><Relationship Id="rId23" Type="http://schemas.openxmlformats.org/officeDocument/2006/relationships/hyperlink" Target="https://www.local.gov.uk/sustainability-appraisal" TargetMode="External"/><Relationship Id="rId28" Type="http://schemas.openxmlformats.org/officeDocument/2006/relationships/hyperlink" Target="http://planningpdf.fareham.gov.uk/PDF/planning/publicationplan/NCU-170621-AccessibilityBackgroundPaper-FINAL.pdf" TargetMode="External"/><Relationship Id="rId10" Type="http://schemas.openxmlformats.org/officeDocument/2006/relationships/hyperlink" Target="http://content.tfl.gov.uk/walking-cycling-economic-benefits-summary-pack.pdf" TargetMode="External"/><Relationship Id="rId19" Type="http://schemas.openxmlformats.org/officeDocument/2006/relationships/hyperlink" Target="https://www.ciht.org.uk/media/4465/planning_for_walking_-_long_-_april_2015.pdf" TargetMode="External"/><Relationship Id="rId4" Type="http://schemas.openxmlformats.org/officeDocument/2006/relationships/hyperlink" Target="https://assets.publishing.service.gov.uk/government/uploads/system/uploads/attachment_data/file/1005759/NPPF_July_2021.pdf" TargetMode="External"/><Relationship Id="rId9" Type="http://schemas.openxmlformats.org/officeDocument/2006/relationships/hyperlink" Target="https://www.sustrans.org.uk/media/2940/2940.pdf" TargetMode="External"/><Relationship Id="rId14" Type="http://schemas.openxmlformats.org/officeDocument/2006/relationships/hyperlink" Target="https://www.transportfornewhomes.org.uk/wp-content/uploads/2018/07/transport-for-new-homes-summary-web.pdf" TargetMode="External"/><Relationship Id="rId22" Type="http://schemas.openxmlformats.org/officeDocument/2006/relationships/hyperlink" Target="https://assets.publishing.service.gov.uk/government/uploads/system/uploads/attachment_data/file/962113/National_design_guide.pdf" TargetMode="External"/><Relationship Id="rId27" Type="http://schemas.openxmlformats.org/officeDocument/2006/relationships/hyperlink" Target="https://www.gov.uk/guidance/housing-and-economic-land-availability-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6514</Words>
  <Characters>37134</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Carmen Mico</cp:lastModifiedBy>
  <cp:revision>2</cp:revision>
  <dcterms:created xsi:type="dcterms:W3CDTF">2022-05-25T12:19:00Z</dcterms:created>
  <dcterms:modified xsi:type="dcterms:W3CDTF">2022-05-25T12:19:00Z</dcterms:modified>
</cp:coreProperties>
</file>